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4B" w:rsidRDefault="00D9484B" w:rsidP="00D9484B">
      <w:pPr>
        <w:ind w:right="-284" w:firstLine="708"/>
        <w:rPr>
          <w:rFonts w:ascii="Book Antiqua" w:hAnsi="Book Antiqua"/>
          <w:sz w:val="28"/>
          <w:szCs w:val="28"/>
        </w:rPr>
      </w:pPr>
    </w:p>
    <w:p w:rsidR="00D9484B" w:rsidRPr="00D9484B" w:rsidRDefault="00D9484B" w:rsidP="00D9484B">
      <w:pPr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484B">
        <w:rPr>
          <w:rFonts w:ascii="Times New Roman" w:hAnsi="Times New Roman" w:cs="Times New Roman"/>
          <w:b/>
          <w:sz w:val="40"/>
          <w:szCs w:val="40"/>
        </w:rPr>
        <w:t>SAMPLE OF RESOLUTİON PAPER</w:t>
      </w:r>
    </w:p>
    <w:p w:rsidR="00EE32B0" w:rsidRPr="00D9484B" w:rsidRDefault="00EE32B0" w:rsidP="00D9484B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document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lists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concerns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intends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can be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delegate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although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instances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observer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is not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allowed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directly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conferences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required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draft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typically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unmoderated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caucuses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informal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caucuses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speeches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debates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negotiations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teamwork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lead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settlement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presented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problem.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(s) on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majority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agrees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passed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voting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bloc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sponsors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thanked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informally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bringing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resolve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actually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straightforward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divided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sections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pre-ambulatory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clauses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operational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clauses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.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</w:rPr>
      </w:pP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484B">
        <w:rPr>
          <w:rFonts w:ascii="Times New Roman" w:hAnsi="Times New Roman" w:cs="Times New Roman"/>
          <w:b/>
          <w:sz w:val="32"/>
          <w:szCs w:val="32"/>
        </w:rPr>
        <w:t xml:space="preserve">1. </w:t>
      </w:r>
      <w:proofErr w:type="spellStart"/>
      <w:r w:rsidRPr="00D9484B">
        <w:rPr>
          <w:rFonts w:ascii="Times New Roman" w:hAnsi="Times New Roman" w:cs="Times New Roman"/>
          <w:b/>
          <w:sz w:val="32"/>
          <w:szCs w:val="32"/>
        </w:rPr>
        <w:t>Heading</w:t>
      </w:r>
      <w:proofErr w:type="spellEnd"/>
    </w:p>
    <w:p w:rsidR="00EE32B0" w:rsidRPr="00D9484B" w:rsidRDefault="00EE32B0" w:rsidP="004F1936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name,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sponsors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signatories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(in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norms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included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headline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name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matter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be self-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explanatory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resolution's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authors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sponsors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delegates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necessarily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agree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but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it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debated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signatories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</w:rPr>
      </w:pPr>
    </w:p>
    <w:p w:rsidR="002D4CB1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Main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Submitter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Greece</w:t>
      </w:r>
      <w:proofErr w:type="spellEnd"/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Co-submitters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: Peru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China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Spain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Greece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Peru,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Israel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Chile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Djibouti</w:t>
      </w:r>
      <w:proofErr w:type="spellEnd"/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of: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Disarmament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Russian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Arctic</w:t>
      </w:r>
      <w:proofErr w:type="spellEnd"/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484B">
        <w:rPr>
          <w:rFonts w:ascii="Times New Roman" w:hAnsi="Times New Roman" w:cs="Times New Roman"/>
          <w:b/>
          <w:sz w:val="32"/>
          <w:szCs w:val="32"/>
        </w:rPr>
        <w:t xml:space="preserve">2. </w:t>
      </w:r>
      <w:proofErr w:type="spellStart"/>
      <w:r w:rsidRPr="00D9484B">
        <w:rPr>
          <w:rFonts w:ascii="Times New Roman" w:hAnsi="Times New Roman" w:cs="Times New Roman"/>
          <w:b/>
          <w:sz w:val="32"/>
          <w:szCs w:val="32"/>
        </w:rPr>
        <w:t>Preambulatory</w:t>
      </w:r>
      <w:proofErr w:type="spellEnd"/>
      <w:r w:rsidRPr="00D948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4CB1" w:rsidRPr="00D9484B">
        <w:rPr>
          <w:rFonts w:ascii="Times New Roman" w:hAnsi="Times New Roman" w:cs="Times New Roman"/>
          <w:b/>
          <w:sz w:val="32"/>
          <w:szCs w:val="32"/>
        </w:rPr>
        <w:t>C</w:t>
      </w:r>
      <w:r w:rsidRPr="00D9484B">
        <w:rPr>
          <w:rFonts w:ascii="Times New Roman" w:hAnsi="Times New Roman" w:cs="Times New Roman"/>
          <w:b/>
          <w:sz w:val="32"/>
          <w:szCs w:val="32"/>
        </w:rPr>
        <w:t>lauses</w:t>
      </w:r>
      <w:proofErr w:type="spellEnd"/>
    </w:p>
    <w:p w:rsidR="00EE32B0" w:rsidRPr="00D9484B" w:rsidRDefault="00EE32B0" w:rsidP="004F1936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concerns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seeks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resolve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listed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preambulatory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clauses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reasons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previous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measures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taken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pre-ambulatory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clauses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: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D0B94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Previous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treaties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conventions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subject</w:t>
      </w:r>
      <w:proofErr w:type="spellEnd"/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lastRenderedPageBreak/>
        <w:t>Previous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non-governmental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efforts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issue</w:t>
      </w:r>
      <w:proofErr w:type="spellEnd"/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References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United Nations Charter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rules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structures</w:t>
      </w:r>
      <w:proofErr w:type="spellEnd"/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Secretary-or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General's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agency's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statements</w:t>
      </w:r>
      <w:proofErr w:type="spellEnd"/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Background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facts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regarding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importance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provided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.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Recalling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United Nations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(UNCLOS),</w:t>
      </w:r>
    </w:p>
    <w:p w:rsidR="00EE32B0" w:rsidRPr="00D9484B" w:rsidRDefault="00B41312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recalling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nuclear-weapon-</w:t>
      </w:r>
      <w:r w:rsidR="00EE32B0" w:rsidRPr="00D9484B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zone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agreements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1967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Treaty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Tlatelolco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>, 1985,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Treaty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Rarotonga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1992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Declaration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Denuclearization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Korea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1995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Treaty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Bangkok, 1996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Treaty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Pelindaba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2006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Treaty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Semipalatinsk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,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Acknowledging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nuclear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acts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Russian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Arctic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,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Emphasizing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importance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disarmament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Russian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Arctic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,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Noting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concern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Arctic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ice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is at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historic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minimum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continues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decrease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at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fast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pace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,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</w:rPr>
      </w:pP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484B">
        <w:rPr>
          <w:rFonts w:ascii="Times New Roman" w:hAnsi="Times New Roman" w:cs="Times New Roman"/>
          <w:b/>
          <w:sz w:val="32"/>
          <w:szCs w:val="32"/>
        </w:rPr>
        <w:t xml:space="preserve">3. </w:t>
      </w:r>
      <w:proofErr w:type="spellStart"/>
      <w:r w:rsidRPr="00D9484B">
        <w:rPr>
          <w:rFonts w:ascii="Times New Roman" w:hAnsi="Times New Roman" w:cs="Times New Roman"/>
          <w:b/>
          <w:sz w:val="32"/>
          <w:szCs w:val="32"/>
        </w:rPr>
        <w:t>Operative</w:t>
      </w:r>
      <w:proofErr w:type="spellEnd"/>
      <w:r w:rsidRPr="00D948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9484B">
        <w:rPr>
          <w:rFonts w:ascii="Times New Roman" w:hAnsi="Times New Roman" w:cs="Times New Roman"/>
          <w:b/>
          <w:sz w:val="32"/>
          <w:szCs w:val="32"/>
        </w:rPr>
        <w:t>Clauses</w:t>
      </w:r>
      <w:proofErr w:type="spellEnd"/>
    </w:p>
    <w:p w:rsidR="00EE32B0" w:rsidRPr="00D9484B" w:rsidRDefault="00EE32B0" w:rsidP="004F1936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sponsors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suggest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remedies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difficulties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operational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sections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operative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clauses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raised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preceding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pre-ambulatory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clauses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.</w:t>
      </w:r>
    </w:p>
    <w:p w:rsidR="00EE32B0" w:rsidRPr="00D9484B" w:rsidRDefault="00EE32B0" w:rsidP="004F1936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begin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solution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draft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Combine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it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underlined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operative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semicolon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operative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clause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ends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operational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clauses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assigned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distinguishes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pre-ambulatory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sentences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aids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logical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progression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resolution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makes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it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refer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operative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clauses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speeches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comments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.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</w:rPr>
      </w:pPr>
    </w:p>
    <w:p w:rsidR="002D4CB1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Encourages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member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WHO (World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ten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thousand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COVID-19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: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providing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supplies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equipment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masks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: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84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sure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has COVID-19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lastRenderedPageBreak/>
        <w:t xml:space="preserve">ii.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bearing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providing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supplies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enough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supplies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so</w:t>
      </w:r>
      <w:proofErr w:type="spellEnd"/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84B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donating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hospitals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needed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won’t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COVID-19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raising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via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84B">
        <w:rPr>
          <w:rFonts w:ascii="Times New Roman" w:hAnsi="Times New Roman" w:cs="Times New Roman"/>
          <w:sz w:val="28"/>
          <w:szCs w:val="28"/>
        </w:rPr>
        <w:t>online</w:t>
      </w:r>
      <w:proofErr w:type="gram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campaigns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prevent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rapid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spread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virus</w:t>
      </w:r>
      <w:proofErr w:type="spellEnd"/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Encourages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dealing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salary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workers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COVID-19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workers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: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D9484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doctors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,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   ii.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nurses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,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   iii.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therapists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,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D9484B">
        <w:rPr>
          <w:rFonts w:ascii="Times New Roman" w:hAnsi="Times New Roman" w:cs="Times New Roman"/>
          <w:sz w:val="28"/>
          <w:szCs w:val="28"/>
        </w:rPr>
        <w:t>iv</w:t>
      </w:r>
      <w:proofErr w:type="gram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paramedic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,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D9484B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radiologist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,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   vi.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pathologists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,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   vii.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emergency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technicians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.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iix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pulmonologists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.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Asks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member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release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on COVID-19 in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: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D9484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9484B">
        <w:rPr>
          <w:rFonts w:ascii="Times New Roman" w:hAnsi="Times New Roman" w:cs="Times New Roman"/>
          <w:sz w:val="28"/>
          <w:szCs w:val="28"/>
        </w:rPr>
        <w:t>.Coordinate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struggle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COVID-19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b.Ensure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has an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equal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amount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484B">
        <w:rPr>
          <w:rFonts w:ascii="Times New Roman" w:hAnsi="Times New Roman" w:cs="Times New Roman"/>
          <w:sz w:val="28"/>
          <w:szCs w:val="28"/>
        </w:rPr>
        <w:t>concerning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r w:rsidR="002D4CB1" w:rsidRPr="00D9484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proofErr w:type="gram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virus</w:t>
      </w:r>
      <w:proofErr w:type="spellEnd"/>
    </w:p>
    <w:p w:rsidR="002D4CB1" w:rsidRPr="00D9484B" w:rsidRDefault="002D4CB1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Requests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World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(WHO)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commission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Pandemic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Team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Commission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of COVID-19”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: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raise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:</w:t>
      </w:r>
    </w:p>
    <w:p w:rsidR="00EE32B0" w:rsidRPr="00D9484B" w:rsidRDefault="00B41312" w:rsidP="004F1936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seriousness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</w:t>
      </w:r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issue</w:t>
      </w:r>
      <w:proofErr w:type="spellEnd"/>
    </w:p>
    <w:p w:rsidR="00EE32B0" w:rsidRPr="00D9484B" w:rsidRDefault="002D4CB1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r w:rsidRPr="00D9484B">
        <w:rPr>
          <w:rFonts w:ascii="Times New Roman" w:hAnsi="Times New Roman" w:cs="Times New Roman"/>
          <w:sz w:val="28"/>
          <w:szCs w:val="28"/>
        </w:rPr>
        <w:tab/>
      </w:r>
      <w:r w:rsidR="00EE32B0" w:rsidRPr="00D9484B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importance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of self-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isolation</w:t>
      </w:r>
      <w:proofErr w:type="spellEnd"/>
    </w:p>
    <w:p w:rsidR="00EE32B0" w:rsidRPr="00D9484B" w:rsidRDefault="002D4CB1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32B0" w:rsidRPr="00D9484B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prevent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32B0" w:rsidRPr="00D9484B">
        <w:rPr>
          <w:rFonts w:ascii="Times New Roman" w:hAnsi="Times New Roman" w:cs="Times New Roman"/>
          <w:sz w:val="28"/>
          <w:szCs w:val="28"/>
        </w:rPr>
        <w:t>spread</w:t>
      </w:r>
      <w:proofErr w:type="gram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COVID-19</w:t>
      </w:r>
    </w:p>
    <w:p w:rsidR="00EE32B0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send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currently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suffering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virus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as:</w:t>
      </w:r>
    </w:p>
    <w:p w:rsidR="00EE32B0" w:rsidRPr="00D9484B" w:rsidRDefault="00EE32B0" w:rsidP="004F1936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84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94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collaborating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influencers</w:t>
      </w:r>
      <w:proofErr w:type="spellEnd"/>
    </w:p>
    <w:p w:rsidR="00EE32B0" w:rsidRPr="00D9484B" w:rsidRDefault="002D4CB1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32B0" w:rsidRPr="00D9484B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citizens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reach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home</w:t>
      </w:r>
      <w:r w:rsidR="00B41312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television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radio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broadcasts</w:t>
      </w:r>
      <w:proofErr w:type="spellEnd"/>
      <w:r w:rsidR="00B4131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advertisements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on TV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media</w:t>
      </w:r>
      <w:proofErr w:type="spellEnd"/>
    </w:p>
    <w:p w:rsidR="002D4CB1" w:rsidRPr="00D9484B" w:rsidRDefault="00EE32B0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c) be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funded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4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D9484B">
        <w:rPr>
          <w:rFonts w:ascii="Times New Roman" w:hAnsi="Times New Roman" w:cs="Times New Roman"/>
          <w:sz w:val="28"/>
          <w:szCs w:val="28"/>
        </w:rPr>
        <w:t>:</w:t>
      </w:r>
    </w:p>
    <w:p w:rsidR="00EE32B0" w:rsidRPr="00D9484B" w:rsidRDefault="00EE32B0" w:rsidP="004F1936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84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9484B">
        <w:rPr>
          <w:rFonts w:ascii="Times New Roman" w:hAnsi="Times New Roman" w:cs="Times New Roman"/>
          <w:sz w:val="28"/>
          <w:szCs w:val="28"/>
        </w:rPr>
        <w:t>. IMF</w:t>
      </w:r>
    </w:p>
    <w:p w:rsidR="00EE32B0" w:rsidRPr="00D9484B" w:rsidRDefault="002D4CB1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32B0" w:rsidRPr="00D9484B">
        <w:rPr>
          <w:rFonts w:ascii="Times New Roman" w:hAnsi="Times New Roman" w:cs="Times New Roman"/>
          <w:sz w:val="28"/>
          <w:szCs w:val="28"/>
        </w:rPr>
        <w:t>ii. World Bank</w:t>
      </w:r>
    </w:p>
    <w:p w:rsidR="00EE32B0" w:rsidRPr="00D9484B" w:rsidRDefault="002D4CB1" w:rsidP="004F193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48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32B0" w:rsidRPr="00D9484B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Member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B0" w:rsidRPr="00D9484B">
        <w:rPr>
          <w:rFonts w:ascii="Times New Roman" w:hAnsi="Times New Roman" w:cs="Times New Roman"/>
          <w:sz w:val="28"/>
          <w:szCs w:val="28"/>
        </w:rPr>
        <w:t>preferably</w:t>
      </w:r>
      <w:proofErr w:type="spellEnd"/>
      <w:r w:rsidR="00EE32B0" w:rsidRPr="00D9484B">
        <w:rPr>
          <w:rFonts w:ascii="Times New Roman" w:hAnsi="Times New Roman" w:cs="Times New Roman"/>
          <w:sz w:val="28"/>
          <w:szCs w:val="28"/>
        </w:rPr>
        <w:t>.</w:t>
      </w:r>
    </w:p>
    <w:p w:rsidR="00D24D85" w:rsidRPr="00D9484B" w:rsidRDefault="00D24D85" w:rsidP="004F1936">
      <w:pPr>
        <w:ind w:right="-284"/>
        <w:jc w:val="both"/>
        <w:rPr>
          <w:rFonts w:ascii="Times New Roman" w:hAnsi="Times New Roman" w:cs="Times New Roman"/>
        </w:rPr>
      </w:pPr>
    </w:p>
    <w:sectPr w:rsidR="00D24D85" w:rsidRPr="00D9484B" w:rsidSect="00D9484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6CA" w:rsidRDefault="00A556CA" w:rsidP="004F1936">
      <w:pPr>
        <w:spacing w:after="0" w:line="240" w:lineRule="auto"/>
      </w:pPr>
      <w:r>
        <w:separator/>
      </w:r>
    </w:p>
  </w:endnote>
  <w:endnote w:type="continuationSeparator" w:id="0">
    <w:p w:rsidR="00A556CA" w:rsidRDefault="00A556CA" w:rsidP="004F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538135" w:themeColor="accent6" w:themeShade="BF"/>
      </w:rPr>
      <w:id w:val="1241294121"/>
      <w:docPartObj>
        <w:docPartGallery w:val="Page Numbers (Bottom of Page)"/>
        <w:docPartUnique/>
      </w:docPartObj>
    </w:sdtPr>
    <w:sdtEndPr/>
    <w:sdtContent>
      <w:p w:rsidR="004F1936" w:rsidRPr="004F1936" w:rsidRDefault="004F1936" w:rsidP="004F1936">
        <w:pPr>
          <w:pStyle w:val="AltBilgi"/>
          <w:rPr>
            <w:color w:val="538135" w:themeColor="accent6" w:themeShade="BF"/>
          </w:rPr>
        </w:pPr>
        <w:r w:rsidRPr="004F1936">
          <w:rPr>
            <w:color w:val="538135" w:themeColor="accent6" w:themeShade="BF"/>
          </w:rPr>
          <w:fldChar w:fldCharType="begin"/>
        </w:r>
        <w:r w:rsidRPr="004F1936">
          <w:rPr>
            <w:color w:val="538135" w:themeColor="accent6" w:themeShade="BF"/>
          </w:rPr>
          <w:instrText>PAGE   \* MERGEFORMAT</w:instrText>
        </w:r>
        <w:r w:rsidRPr="004F1936">
          <w:rPr>
            <w:color w:val="538135" w:themeColor="accent6" w:themeShade="BF"/>
          </w:rPr>
          <w:fldChar w:fldCharType="separate"/>
        </w:r>
        <w:r w:rsidR="00B41312">
          <w:rPr>
            <w:noProof/>
            <w:color w:val="538135" w:themeColor="accent6" w:themeShade="BF"/>
          </w:rPr>
          <w:t>4</w:t>
        </w:r>
        <w:r w:rsidRPr="004F1936">
          <w:rPr>
            <w:color w:val="538135" w:themeColor="accent6" w:themeShade="BF"/>
          </w:rPr>
          <w:fldChar w:fldCharType="end"/>
        </w:r>
        <w:r>
          <w:rPr>
            <w:color w:val="538135" w:themeColor="accent6" w:themeShade="BF"/>
          </w:rPr>
          <w:t xml:space="preserve">                                                                                                                                                           BAALMUN’21</w:t>
        </w:r>
      </w:p>
    </w:sdtContent>
  </w:sdt>
  <w:p w:rsidR="004F1936" w:rsidRDefault="004F19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6CA" w:rsidRDefault="00A556CA" w:rsidP="004F1936">
      <w:pPr>
        <w:spacing w:after="0" w:line="240" w:lineRule="auto"/>
      </w:pPr>
      <w:r>
        <w:separator/>
      </w:r>
    </w:p>
  </w:footnote>
  <w:footnote w:type="continuationSeparator" w:id="0">
    <w:p w:rsidR="00A556CA" w:rsidRDefault="00A556CA" w:rsidP="004F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36" w:rsidRDefault="00A556C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354907" o:spid="_x0000_s2050" type="#_x0000_t75" style="position:absolute;margin-left:0;margin-top:0;width:453.4pt;height:375.1pt;z-index:-251657216;mso-position-horizontal:center;mso-position-horizontal-relative:margin;mso-position-vertical:center;mso-position-vertical-relative:margin" o:allowincell="f">
          <v:imagedata r:id="rId1" o:title="MUN 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36" w:rsidRDefault="00A556C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354908" o:spid="_x0000_s2051" type="#_x0000_t75" style="position:absolute;margin-left:0;margin-top:0;width:453.4pt;height:375.1pt;z-index:-251656192;mso-position-horizontal:center;mso-position-horizontal-relative:margin;mso-position-vertical:center;mso-position-vertical-relative:margin" o:allowincell="f">
          <v:imagedata r:id="rId1" o:title="MUN Logo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36" w:rsidRDefault="00A556C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354906" o:spid="_x0000_s2049" type="#_x0000_t75" style="position:absolute;margin-left:0;margin-top:0;width:453.4pt;height:375.1pt;z-index:-251658240;mso-position-horizontal:center;mso-position-horizontal-relative:margin;mso-position-vertical:center;mso-position-vertical-relative:margin" o:allowincell="f">
          <v:imagedata r:id="rId1" o:title="MUN 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28"/>
    <w:rsid w:val="00031428"/>
    <w:rsid w:val="00270ED8"/>
    <w:rsid w:val="002D4CB1"/>
    <w:rsid w:val="004F1936"/>
    <w:rsid w:val="0074517E"/>
    <w:rsid w:val="00A556CA"/>
    <w:rsid w:val="00B41312"/>
    <w:rsid w:val="00D24D85"/>
    <w:rsid w:val="00D9484B"/>
    <w:rsid w:val="00ED0B94"/>
    <w:rsid w:val="00EE32B0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3ECF5E"/>
  <w15:chartTrackingRefBased/>
  <w15:docId w15:val="{399E5829-587E-49F2-914F-5D11875A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1936"/>
  </w:style>
  <w:style w:type="paragraph" w:styleId="AltBilgi">
    <w:name w:val="footer"/>
    <w:basedOn w:val="Normal"/>
    <w:link w:val="AltBilgiChar"/>
    <w:uiPriority w:val="99"/>
    <w:unhideWhenUsed/>
    <w:rsid w:val="004F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90507</dc:creator>
  <cp:keywords/>
  <dc:description/>
  <cp:lastModifiedBy>90507</cp:lastModifiedBy>
  <cp:revision>8</cp:revision>
  <dcterms:created xsi:type="dcterms:W3CDTF">2021-07-13T11:40:00Z</dcterms:created>
  <dcterms:modified xsi:type="dcterms:W3CDTF">2021-09-23T20:33:00Z</dcterms:modified>
</cp:coreProperties>
</file>