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SafirMUN</w:t>
      </w:r>
      <w:r w:rsidDel="00000000" w:rsidR="00000000" w:rsidRPr="00000000">
        <w:rPr>
          <w:rFonts w:ascii="Times New Roman" w:cs="Times New Roman" w:eastAsia="Times New Roman" w:hAnsi="Times New Roman"/>
          <w:sz w:val="24"/>
          <w:szCs w:val="24"/>
          <w:highlight w:val="white"/>
          <w:rtl w:val="0"/>
        </w:rPr>
        <w:t xml:space="preserve"> 2021</w:t>
      </w:r>
    </w:p>
    <w:p w:rsidR="00000000" w:rsidDel="00000000" w:rsidP="00000000" w:rsidRDefault="00000000" w:rsidRPr="00000000" w14:paraId="00000002">
      <w:pPr>
        <w:spacing w:line="480" w:lineRule="auto"/>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Improviso Committee: Conference on Achieving Peace in the Middle-East</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Handbook</w:t>
      </w:r>
    </w:p>
    <w:p w:rsidR="00000000" w:rsidDel="00000000" w:rsidP="00000000" w:rsidRDefault="00000000" w:rsidRPr="00000000" w14:paraId="00000004">
      <w:pPr>
        <w:spacing w:line="48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 General Rules</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spacing w:line="48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1: Scope</w:t>
      </w:r>
    </w:p>
    <w:p w:rsidR="00000000" w:rsidDel="00000000" w:rsidP="00000000" w:rsidRDefault="00000000" w:rsidRPr="00000000" w14:paraId="00000007">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Standard Rules of Parliamentary Procedure of the United Nations is applicable to the Conference on Achieving Peace in the Middle-East. Bound by the general principles of SafirMUN 2021 and the Rules of Parliamentary Procedure for the Conference on Achieving Peace in the Middle-East, the PGA’s office may issue special rules of procedure, prior to the conference.</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2: Dress Code </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official dress code of the conference is western business attire. The Members of the Conference are allowed to dress in national, religious or traditional attire.</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3: Electronic Devices</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Due to the nature of SafirMUN, which is an online conference, electronic devices are a must. However, the PGA’s office will be closely examining the delegates in order to prevent anyone from doing non-committee-related activities such as gaming, chatting or watching a series.</w:t>
      </w:r>
    </w:p>
    <w:p w:rsidR="00000000" w:rsidDel="00000000" w:rsidP="00000000" w:rsidRDefault="00000000" w:rsidRPr="00000000" w14:paraId="0000000E">
      <w:pPr>
        <w:numPr>
          <w:ilvl w:val="0"/>
          <w:numId w:val="3"/>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If someone is caught doing the activities mentioned above, they’ll be issued an academic warning.</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 Committee Rules</w:t>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4: General Powers of the Committee Directors</w:t>
      </w:r>
    </w:p>
    <w:p w:rsidR="00000000" w:rsidDel="00000000" w:rsidP="00000000" w:rsidRDefault="00000000" w:rsidRPr="00000000" w14:paraId="00000016">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Committee Board will consist of a Mediator and an Administrator who are responsible for managing the debates in addition to being able to contribute to the official debates. Committee Directors are responsible for the moderation of the committee with the powers granted to them by these rules. The Committee Board also has the right to interrupt the Committee proceedings in order to make a presentation, bring in a guest speaker, Member of Conference or an outside source as witness. Directors may transfer their duties to other members of the Board or members of the PGA’s office. Also the Committee Staff shall include the Academic Team members responsible for this committee.</w:t>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5: Members</w:t>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committee shall consist of Members of the Conference on Achieving Peace in the Middle-East, including the Mediator and the Administrator.</w:t>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6: Quorum</w:t>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Quorum is met if at least 2/3 of the registered Members of the Conference are present in the committee. In case of a problem due to coherent reasons, the Committee Board shall make appropriate decisions to better the flow of the debate after informing the responsible PGA’s office member(s).</w:t>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Presence of two-thirds of the Members of the Conference is required for any decision on a substantive voting.</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7: Communication</w:t>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Communication can only be in English, which is the official language of SafirMUN 2021. Communication during formal sessions or moderated caucus will be done by sending your messages to the admin in the format that is written below:</w:t>
      </w:r>
    </w:p>
    <w:p w:rsidR="00000000" w:rsidDel="00000000" w:rsidP="00000000" w:rsidRDefault="00000000" w:rsidRPr="00000000" w14:paraId="00000021">
      <w:pPr>
        <w:numPr>
          <w:ilvl w:val="0"/>
          <w:numId w:val="10"/>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To: (Recipient), From: (Sender), (Your Message)</w:t>
      </w:r>
    </w:p>
    <w:p w:rsidR="00000000" w:rsidDel="00000000" w:rsidP="00000000" w:rsidRDefault="00000000" w:rsidRPr="00000000" w14:paraId="00000022">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8: Roll-Call</w:t>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the beginning of each session, Committee Board will take the Roll-Call, and the Members of the Conference are expected to indicate their status of presence as “present”.</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9: Agenda</w:t>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Committee has an open agenda. Yet, the ultimate decision maker on these issues is the PGA’s office.</w:t>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10: Debate</w:t>
      </w:r>
    </w:p>
    <w:p w:rsidR="00000000" w:rsidDel="00000000" w:rsidP="00000000" w:rsidRDefault="00000000" w:rsidRPr="00000000" w14:paraId="0000002A">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the start of the session, the committee shall move on with the Opening Speeches followed by GSL and then with the following types of debate, which require a simple majority of the committee to pass. The Committee Board will conduct a General Speaker’s List before the voting of any document.</w:t>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Committee Board possesses the right to alter or increase the time of a caucus if they deem necessary.</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11: Voting</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members of the conference are expected to vote, no member can abstain. In the substantive voting procedures there will be options of “yes”, “no” or “pass”.  Pass indicates that the member will vote after the current voting turn is over. Options left after a pass are “yes” or “no”</w:t>
      </w:r>
    </w:p>
    <w:p w:rsidR="00000000" w:rsidDel="00000000" w:rsidP="00000000" w:rsidRDefault="00000000" w:rsidRPr="00000000" w14:paraId="0000002F">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line="48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 Rules Governing Committee Documents</w:t>
      </w:r>
    </w:p>
    <w:p w:rsidR="00000000" w:rsidDel="00000000" w:rsidP="00000000" w:rsidRDefault="00000000" w:rsidRPr="00000000" w14:paraId="00000031">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numPr>
          <w:ilvl w:val="0"/>
          <w:numId w:val="1"/>
        </w:numPr>
        <w:spacing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Declaration</w:t>
      </w:r>
    </w:p>
    <w:p w:rsidR="00000000" w:rsidDel="00000000" w:rsidP="00000000" w:rsidRDefault="00000000" w:rsidRPr="00000000" w14:paraId="00000033">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Declaration is the document that is expected of the committee to draft during the whole 3-days of the conference. Declaration does not have a specific format, members of the conference may choose to write it as they please. In the annex, members can find examples of different declarations. It is recommended by the PGA’s office that delegates write the answers to the “questions that should be addressed” section in the study guide. Declaration will require consensus to pass, which means that all 20 members of the conference must vote in favor of the document, otherwise the document will  not pass and the committee will ultimately fail. </w:t>
      </w:r>
    </w:p>
    <w:p w:rsidR="00000000" w:rsidDel="00000000" w:rsidP="00000000" w:rsidRDefault="00000000" w:rsidRPr="00000000" w14:paraId="00000034">
      <w:pPr>
        <w:numPr>
          <w:ilvl w:val="0"/>
          <w:numId w:val="1"/>
        </w:numPr>
        <w:spacing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Personal Directive</w:t>
      </w:r>
    </w:p>
    <w:p w:rsidR="00000000" w:rsidDel="00000000" w:rsidP="00000000" w:rsidRDefault="00000000" w:rsidRPr="00000000" w14:paraId="00000035">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Personal Directive is an action taken by an individual member in accordance with their represented country’s power or abilities. </w:t>
      </w:r>
    </w:p>
    <w:p w:rsidR="00000000" w:rsidDel="00000000" w:rsidP="00000000" w:rsidRDefault="00000000" w:rsidRPr="00000000" w14:paraId="00000036">
      <w:pPr>
        <w:numPr>
          <w:ilvl w:val="0"/>
          <w:numId w:val="2"/>
        </w:numPr>
        <w:spacing w:line="48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These documents must answer 5 W and 1 H questions.</w:t>
      </w:r>
    </w:p>
    <w:p w:rsidR="00000000" w:rsidDel="00000000" w:rsidP="00000000" w:rsidRDefault="00000000" w:rsidRPr="00000000" w14:paraId="00000037">
      <w:pPr>
        <w:numPr>
          <w:ilvl w:val="0"/>
          <w:numId w:val="2"/>
        </w:numPr>
        <w:spacing w:line="48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documents must follow a logical order of events.</w:t>
      </w:r>
    </w:p>
    <w:p w:rsidR="00000000" w:rsidDel="00000000" w:rsidP="00000000" w:rsidRDefault="00000000" w:rsidRPr="00000000" w14:paraId="00000038">
      <w:pPr>
        <w:numPr>
          <w:ilvl w:val="0"/>
          <w:numId w:val="2"/>
        </w:numPr>
        <w:spacing w:line="48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documents must have a title.</w:t>
      </w:r>
    </w:p>
    <w:p w:rsidR="00000000" w:rsidDel="00000000" w:rsidP="00000000" w:rsidRDefault="00000000" w:rsidRPr="00000000" w14:paraId="00000039">
      <w:pPr>
        <w:numPr>
          <w:ilvl w:val="0"/>
          <w:numId w:val="2"/>
        </w:numPr>
        <w:spacing w:line="48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documents must specify what kind of outcome the member expects after the events that were written on the document.</w:t>
      </w:r>
    </w:p>
    <w:p w:rsidR="00000000" w:rsidDel="00000000" w:rsidP="00000000" w:rsidRDefault="00000000" w:rsidRPr="00000000" w14:paraId="0000003A">
      <w:pPr>
        <w:numPr>
          <w:ilvl w:val="0"/>
          <w:numId w:val="2"/>
        </w:numPr>
        <w:spacing w:line="48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These documents may be sent with support of multiple members, in this case their powers and abilities are considered merged.</w:t>
      </w:r>
    </w:p>
    <w:p w:rsidR="00000000" w:rsidDel="00000000" w:rsidP="00000000" w:rsidRDefault="00000000" w:rsidRPr="00000000" w14:paraId="0000003B">
      <w:pPr>
        <w:numPr>
          <w:ilvl w:val="0"/>
          <w:numId w:val="2"/>
        </w:numPr>
        <w:spacing w:line="48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No voting needed on these documents.</w:t>
      </w:r>
    </w:p>
    <w:p w:rsidR="00000000" w:rsidDel="00000000" w:rsidP="00000000" w:rsidRDefault="00000000" w:rsidRPr="00000000" w14:paraId="0000003C">
      <w:pPr>
        <w:numPr>
          <w:ilvl w:val="1"/>
          <w:numId w:val="2"/>
        </w:numPr>
        <w:spacing w:line="480" w:lineRule="auto"/>
        <w:ind w:left="216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Due to the nature of SafirMUN 2021, these documents will be submitted to the PGA’s office via google forms. The link to the google forms is: https://forms.gle/HXXPG82pL3skyzPS6. This link will also be shared during the conference.</w:t>
      </w:r>
    </w:p>
    <w:p w:rsidR="00000000" w:rsidDel="00000000" w:rsidP="00000000" w:rsidRDefault="00000000" w:rsidRPr="00000000" w14:paraId="0000003D">
      <w:pPr>
        <w:numPr>
          <w:ilvl w:val="0"/>
          <w:numId w:val="1"/>
        </w:numPr>
        <w:spacing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Committee Directive</w:t>
      </w:r>
    </w:p>
    <w:p w:rsidR="00000000" w:rsidDel="00000000" w:rsidP="00000000" w:rsidRDefault="00000000" w:rsidRPr="00000000" w14:paraId="0000003E">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Committee Directive has the same format as an individual directive, sometimes called individual action order, with some difference in its rules of procedure. Committee Directive is a document where all members of the committee agree on a joint act. It requires consensus to pass.</w:t>
      </w:r>
    </w:p>
    <w:p w:rsidR="00000000" w:rsidDel="00000000" w:rsidP="00000000" w:rsidRDefault="00000000" w:rsidRPr="00000000" w14:paraId="0000003F">
      <w:pPr>
        <w:numPr>
          <w:ilvl w:val="0"/>
          <w:numId w:val="1"/>
        </w:numPr>
        <w:spacing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Press Release</w:t>
      </w:r>
    </w:p>
    <w:p w:rsidR="00000000" w:rsidDel="00000000" w:rsidP="00000000" w:rsidRDefault="00000000" w:rsidRPr="00000000" w14:paraId="00000040">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Press releases are statements from a committee or a delegate that they want</w:t>
      </w:r>
    </w:p>
    <w:p w:rsidR="00000000" w:rsidDel="00000000" w:rsidP="00000000" w:rsidRDefault="00000000" w:rsidRPr="00000000" w14:paraId="00000041">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expressed to the general public. If sent from the committee, press releases must first</w:t>
      </w:r>
    </w:p>
    <w:p w:rsidR="00000000" w:rsidDel="00000000" w:rsidP="00000000" w:rsidRDefault="00000000" w:rsidRPr="00000000" w14:paraId="00000042">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 approved through a vote.</w:t>
      </w:r>
    </w:p>
    <w:p w:rsidR="00000000" w:rsidDel="00000000" w:rsidP="00000000" w:rsidRDefault="00000000" w:rsidRPr="00000000" w14:paraId="00000043">
      <w:pPr>
        <w:numPr>
          <w:ilvl w:val="0"/>
          <w:numId w:val="9"/>
        </w:numPr>
        <w:spacing w:line="48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(½) Simple Majority is required for a Press Release to pass.</w:t>
      </w:r>
    </w:p>
    <w:p w:rsidR="00000000" w:rsidDel="00000000" w:rsidP="00000000" w:rsidRDefault="00000000" w:rsidRPr="00000000" w14:paraId="00000044">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Rule 12: Substantive Voting Types</w:t>
      </w:r>
    </w:p>
    <w:p w:rsidR="00000000" w:rsidDel="00000000" w:rsidP="00000000" w:rsidRDefault="00000000" w:rsidRPr="00000000" w14:paraId="00000046">
      <w:pPr>
        <w:numPr>
          <w:ilvl w:val="0"/>
          <w:numId w:val="4"/>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Motion for Placard Voting</w:t>
      </w:r>
    </w:p>
    <w:p w:rsidR="00000000" w:rsidDel="00000000" w:rsidP="00000000" w:rsidRDefault="00000000" w:rsidRPr="00000000" w14:paraId="00000047">
      <w:pPr>
        <w:numPr>
          <w:ilvl w:val="0"/>
          <w:numId w:val="4"/>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Motion to Divide the Question</w:t>
      </w:r>
    </w:p>
    <w:p w:rsidR="00000000" w:rsidDel="00000000" w:rsidP="00000000" w:rsidRDefault="00000000" w:rsidRPr="00000000" w14:paraId="00000048">
      <w:pPr>
        <w:numPr>
          <w:ilvl w:val="0"/>
          <w:numId w:val="4"/>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Motion to Divide the House</w:t>
      </w:r>
    </w:p>
    <w:p w:rsidR="00000000" w:rsidDel="00000000" w:rsidP="00000000" w:rsidRDefault="00000000" w:rsidRPr="00000000" w14:paraId="00000049">
      <w:pPr>
        <w:numPr>
          <w:ilvl w:val="0"/>
          <w:numId w:val="4"/>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Motion to Vote by Acclamation</w:t>
      </w:r>
    </w:p>
    <w:p w:rsidR="00000000" w:rsidDel="00000000" w:rsidP="00000000" w:rsidRDefault="00000000" w:rsidRPr="00000000" w14:paraId="0000004A">
      <w:pPr>
        <w:numPr>
          <w:ilvl w:val="0"/>
          <w:numId w:val="4"/>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Motion for a Roll Call Vote</w:t>
      </w:r>
    </w:p>
    <w:p w:rsidR="00000000" w:rsidDel="00000000" w:rsidP="00000000" w:rsidRDefault="00000000" w:rsidRPr="00000000" w14:paraId="0000004B">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spacing w:line="48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 Precedence</w:t>
      </w:r>
    </w:p>
    <w:p w:rsidR="00000000" w:rsidDel="00000000" w:rsidP="00000000" w:rsidRDefault="00000000" w:rsidRPr="00000000" w14:paraId="0000004D">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Point of Personal Privilege</w:t>
      </w:r>
    </w:p>
    <w:p w:rsidR="00000000" w:rsidDel="00000000" w:rsidP="00000000" w:rsidRDefault="00000000" w:rsidRPr="00000000" w14:paraId="0000004E">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Point of Order</w:t>
      </w:r>
    </w:p>
    <w:p w:rsidR="00000000" w:rsidDel="00000000" w:rsidP="00000000" w:rsidRDefault="00000000" w:rsidRPr="00000000" w14:paraId="0000004F">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Point of Parliamentary Inquiry</w:t>
      </w:r>
    </w:p>
    <w:p w:rsidR="00000000" w:rsidDel="00000000" w:rsidP="00000000" w:rsidRDefault="00000000" w:rsidRPr="00000000" w14:paraId="00000050">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Point of Information</w:t>
      </w:r>
    </w:p>
    <w:p w:rsidR="00000000" w:rsidDel="00000000" w:rsidP="00000000" w:rsidRDefault="00000000" w:rsidRPr="00000000" w14:paraId="00000051">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Adjourn the Meeting</w:t>
      </w:r>
    </w:p>
    <w:p w:rsidR="00000000" w:rsidDel="00000000" w:rsidP="00000000" w:rsidRDefault="00000000" w:rsidRPr="00000000" w14:paraId="00000052">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Suspend the Meeting</w:t>
      </w:r>
    </w:p>
    <w:p w:rsidR="00000000" w:rsidDel="00000000" w:rsidP="00000000" w:rsidRDefault="00000000" w:rsidRPr="00000000" w14:paraId="00000053">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Close the Debate</w:t>
      </w:r>
    </w:p>
    <w:p w:rsidR="00000000" w:rsidDel="00000000" w:rsidP="00000000" w:rsidRDefault="00000000" w:rsidRPr="00000000" w14:paraId="00000054">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Table (Postpone) the Debate</w:t>
      </w:r>
    </w:p>
    <w:p w:rsidR="00000000" w:rsidDel="00000000" w:rsidP="00000000" w:rsidRDefault="00000000" w:rsidRPr="00000000" w14:paraId="00000055">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Resume the Debate</w:t>
      </w:r>
    </w:p>
    <w:p w:rsidR="00000000" w:rsidDel="00000000" w:rsidP="00000000" w:rsidRDefault="00000000" w:rsidRPr="00000000" w14:paraId="00000056">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for Reconsideration</w:t>
      </w:r>
    </w:p>
    <w:p w:rsidR="00000000" w:rsidDel="00000000" w:rsidP="00000000" w:rsidRDefault="00000000" w:rsidRPr="00000000" w14:paraId="00000057">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Reorder the Resolutions</w:t>
      </w:r>
    </w:p>
    <w:p w:rsidR="00000000" w:rsidDel="00000000" w:rsidP="00000000" w:rsidRDefault="00000000" w:rsidRPr="00000000" w14:paraId="00000058">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Divide the House</w:t>
      </w:r>
    </w:p>
    <w:p w:rsidR="00000000" w:rsidDel="00000000" w:rsidP="00000000" w:rsidRDefault="00000000" w:rsidRPr="00000000" w14:paraId="00000059">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Divide the Question 22</w:t>
      </w:r>
    </w:p>
    <w:p w:rsidR="00000000" w:rsidDel="00000000" w:rsidP="00000000" w:rsidRDefault="00000000" w:rsidRPr="00000000" w14:paraId="0000005A">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Conduct a Roll Call Voting</w:t>
      </w:r>
    </w:p>
    <w:p w:rsidR="00000000" w:rsidDel="00000000" w:rsidP="00000000" w:rsidRDefault="00000000" w:rsidRPr="00000000" w14:paraId="0000005B">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Introduce a Draft Resolution</w:t>
      </w:r>
    </w:p>
    <w:p w:rsidR="00000000" w:rsidDel="00000000" w:rsidP="00000000" w:rsidRDefault="00000000" w:rsidRPr="00000000" w14:paraId="0000005C">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Introduce an Amendment</w:t>
      </w:r>
    </w:p>
    <w:p w:rsidR="00000000" w:rsidDel="00000000" w:rsidP="00000000" w:rsidRDefault="00000000" w:rsidRPr="00000000" w14:paraId="0000005D">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Question the Competence</w:t>
      </w:r>
    </w:p>
    <w:p w:rsidR="00000000" w:rsidDel="00000000" w:rsidP="00000000" w:rsidRDefault="00000000" w:rsidRPr="00000000" w14:paraId="0000005E">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Extend Previous Caucus</w:t>
      </w:r>
    </w:p>
    <w:p w:rsidR="00000000" w:rsidDel="00000000" w:rsidP="00000000" w:rsidRDefault="00000000" w:rsidRPr="00000000" w14:paraId="0000005F">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Unmoderated Caucus</w:t>
      </w:r>
    </w:p>
    <w:p w:rsidR="00000000" w:rsidDel="00000000" w:rsidP="00000000" w:rsidRDefault="00000000" w:rsidRPr="00000000" w14:paraId="00000060">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Motion to Moderated Caucus</w:t>
      </w:r>
    </w:p>
    <w:p w:rsidR="00000000" w:rsidDel="00000000" w:rsidP="00000000" w:rsidRDefault="00000000" w:rsidRPr="00000000" w14:paraId="00000061">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Upon the proposal of more than one unmoderated caucus, the longer unmoderated caucus motion shall be put to the vote first. Same rule applies for moderated caucuses, if the total length of the proposed moderated caucuses are also the same the one with the longer individual speaker's time shall be put to vote first.</w:t>
      </w:r>
    </w:p>
    <w:p w:rsidR="00000000" w:rsidDel="00000000" w:rsidP="00000000" w:rsidRDefault="00000000" w:rsidRPr="00000000" w14:paraId="00000062">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spacing w:line="48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 Annex</w:t>
      </w:r>
    </w:p>
    <w:p w:rsidR="00000000" w:rsidDel="00000000" w:rsidP="00000000" w:rsidRDefault="00000000" w:rsidRPr="00000000" w14:paraId="00000066">
      <w:pPr>
        <w:numPr>
          <w:ilvl w:val="0"/>
          <w:numId w:val="8"/>
        </w:numPr>
        <w:spacing w:line="480"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Annex: 1 Declaration Examples</w:t>
      </w:r>
    </w:p>
    <w:p w:rsidR="00000000" w:rsidDel="00000000" w:rsidP="00000000" w:rsidRDefault="00000000" w:rsidRPr="00000000" w14:paraId="00000067">
      <w:pPr>
        <w:numPr>
          <w:ilvl w:val="0"/>
          <w:numId w:val="5"/>
        </w:numPr>
        <w:spacing w:line="480" w:lineRule="auto"/>
        <w:ind w:left="1440" w:hanging="360"/>
        <w:jc w:val="both"/>
        <w:rPr>
          <w:rFonts w:ascii="Times New Roman" w:cs="Times New Roman" w:eastAsia="Times New Roman" w:hAnsi="Times New Roman"/>
          <w:b w:val="1"/>
          <w:sz w:val="24"/>
          <w:szCs w:val="24"/>
          <w:highlight w:val="white"/>
          <w:u w:val="none"/>
        </w:rPr>
      </w:pPr>
      <w:hyperlink r:id="rId6">
        <w:r w:rsidDel="00000000" w:rsidR="00000000" w:rsidRPr="00000000">
          <w:rPr>
            <w:rFonts w:ascii="Times New Roman" w:cs="Times New Roman" w:eastAsia="Times New Roman" w:hAnsi="Times New Roman"/>
            <w:b w:val="1"/>
            <w:color w:val="1155cc"/>
            <w:sz w:val="24"/>
            <w:szCs w:val="24"/>
            <w:highlight w:val="white"/>
            <w:u w:val="single"/>
            <w:rtl w:val="0"/>
          </w:rPr>
          <w:t xml:space="preserve">https://docs.google.com/document/d/1LtZIGvq9MlJu_8WlzndTcxHwASRW6TPjCN7MP-S3GDw/edit?usp=sharing</w:t>
        </w:r>
      </w:hyperlink>
      <w:r w:rsidDel="00000000" w:rsidR="00000000" w:rsidRPr="00000000">
        <w:rPr>
          <w:rtl w:val="0"/>
        </w:rPr>
      </w:r>
    </w:p>
    <w:p w:rsidR="00000000" w:rsidDel="00000000" w:rsidP="00000000" w:rsidRDefault="00000000" w:rsidRPr="00000000" w14:paraId="00000068">
      <w:pPr>
        <w:numPr>
          <w:ilvl w:val="0"/>
          <w:numId w:val="5"/>
        </w:numPr>
        <w:spacing w:line="480" w:lineRule="auto"/>
        <w:ind w:left="1440" w:hanging="360"/>
        <w:jc w:val="both"/>
        <w:rPr>
          <w:rFonts w:ascii="Times New Roman" w:cs="Times New Roman" w:eastAsia="Times New Roman" w:hAnsi="Times New Roman"/>
          <w:b w:val="1"/>
          <w:sz w:val="24"/>
          <w:szCs w:val="24"/>
          <w:highlight w:val="white"/>
          <w:u w:val="none"/>
        </w:rPr>
      </w:pPr>
      <w:hyperlink r:id="rId7">
        <w:r w:rsidDel="00000000" w:rsidR="00000000" w:rsidRPr="00000000">
          <w:rPr>
            <w:rFonts w:ascii="Times New Roman" w:cs="Times New Roman" w:eastAsia="Times New Roman" w:hAnsi="Times New Roman"/>
            <w:b w:val="1"/>
            <w:color w:val="1155cc"/>
            <w:sz w:val="24"/>
            <w:szCs w:val="24"/>
            <w:highlight w:val="white"/>
            <w:u w:val="single"/>
            <w:rtl w:val="0"/>
          </w:rPr>
          <w:t xml:space="preserve">https://docs.google.com/document/d/16sU06UWE3FWhmqTGQeayqYiQUfphXSLtLB08oug5cPc/edit?usp=sharing</w:t>
        </w:r>
      </w:hyperlink>
      <w:r w:rsidDel="00000000" w:rsidR="00000000" w:rsidRPr="00000000">
        <w:rPr>
          <w:rtl w:val="0"/>
        </w:rPr>
      </w:r>
    </w:p>
    <w:p w:rsidR="00000000" w:rsidDel="00000000" w:rsidP="00000000" w:rsidRDefault="00000000" w:rsidRPr="00000000" w14:paraId="00000069">
      <w:pPr>
        <w:numPr>
          <w:ilvl w:val="0"/>
          <w:numId w:val="5"/>
        </w:numPr>
        <w:spacing w:line="480" w:lineRule="auto"/>
        <w:ind w:left="1440" w:hanging="360"/>
        <w:jc w:val="both"/>
        <w:rPr>
          <w:rFonts w:ascii="Times New Roman" w:cs="Times New Roman" w:eastAsia="Times New Roman" w:hAnsi="Times New Roman"/>
          <w:b w:val="1"/>
          <w:sz w:val="24"/>
          <w:szCs w:val="24"/>
          <w:highlight w:val="white"/>
          <w:u w:val="none"/>
        </w:rPr>
      </w:pPr>
      <w:hyperlink r:id="rId8">
        <w:r w:rsidDel="00000000" w:rsidR="00000000" w:rsidRPr="00000000">
          <w:rPr>
            <w:rFonts w:ascii="Times New Roman" w:cs="Times New Roman" w:eastAsia="Times New Roman" w:hAnsi="Times New Roman"/>
            <w:b w:val="1"/>
            <w:color w:val="1155cc"/>
            <w:sz w:val="24"/>
            <w:szCs w:val="24"/>
            <w:highlight w:val="white"/>
            <w:u w:val="single"/>
            <w:rtl w:val="0"/>
          </w:rPr>
          <w:t xml:space="preserve">https://docs.google.com/document/d/1SHe5egwZ-AEzgw9eRQnOAE2R761M2_ThKORWe8NUG20/edit?usp=sharing</w:t>
        </w:r>
      </w:hyperlink>
      <w:r w:rsidDel="00000000" w:rsidR="00000000" w:rsidRPr="00000000">
        <w:rPr>
          <w:rtl w:val="0"/>
        </w:rPr>
      </w:r>
    </w:p>
    <w:p w:rsidR="00000000" w:rsidDel="00000000" w:rsidP="00000000" w:rsidRDefault="00000000" w:rsidRPr="00000000" w14:paraId="0000006A">
      <w:pPr>
        <w:numPr>
          <w:ilvl w:val="0"/>
          <w:numId w:val="8"/>
        </w:numPr>
        <w:spacing w:line="480"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Annex: 2 Directive Examples</w:t>
      </w:r>
    </w:p>
    <w:p w:rsidR="00000000" w:rsidDel="00000000" w:rsidP="00000000" w:rsidRDefault="00000000" w:rsidRPr="00000000" w14:paraId="0000006B">
      <w:pPr>
        <w:numPr>
          <w:ilvl w:val="0"/>
          <w:numId w:val="7"/>
        </w:numPr>
        <w:spacing w:line="480" w:lineRule="auto"/>
        <w:ind w:left="144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Directive: Seoul Fooda</w:t>
      </w:r>
    </w:p>
    <w:p w:rsidR="00000000" w:rsidDel="00000000" w:rsidP="00000000" w:rsidRDefault="00000000" w:rsidRPr="00000000" w14:paraId="0000006C">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light of the alarming humanitarian situation mounting in the Northern end of the country, the cabinet will:</w:t>
      </w:r>
    </w:p>
    <w:p w:rsidR="00000000" w:rsidDel="00000000" w:rsidP="00000000" w:rsidRDefault="00000000" w:rsidRPr="00000000" w14:paraId="0000006D">
      <w:pPr>
        <w:spacing w:line="48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Release emergency food stores to the Korean public, to be distributed by police forces over the next two weeks, to reduce rates of malnutrition and starvation from this conflict; Request assistance from the International Committee of the Red Cross is providing clean water to residents of Seoul, Incheon, Uijeongbu, and Ansan as needed;</w:t>
      </w:r>
    </w:p>
    <w:p w:rsidR="00000000" w:rsidDel="00000000" w:rsidP="00000000" w:rsidRDefault="00000000" w:rsidRPr="00000000" w14:paraId="0000006E">
      <w:pPr>
        <w:spacing w:line="48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Establish emergency lodging centers in non-essential government buildings for individuals that have been displaced due to recent violence; Temporarily cease exports of agricultural products and order mandatory sale of all foods to the Ministry of Agriculture for 50% below market value to help mitigate the current food crisis. Through these steps, we hope to stem the humanitarian crisis in our country and regain the trust of the public.</w:t>
      </w:r>
    </w:p>
    <w:p w:rsidR="00000000" w:rsidDel="00000000" w:rsidP="00000000" w:rsidRDefault="00000000" w:rsidRPr="00000000" w14:paraId="0000006F">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Signed: Minister of Commerce, Minister of Culture, Minister of Foreign Affairs</w:t>
      </w:r>
    </w:p>
    <w:p w:rsidR="00000000" w:rsidDel="00000000" w:rsidP="00000000" w:rsidRDefault="00000000" w:rsidRPr="00000000" w14:paraId="00000070">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1">
      <w:pPr>
        <w:numPr>
          <w:ilvl w:val="0"/>
          <w:numId w:val="6"/>
        </w:numPr>
        <w:spacing w:line="480" w:lineRule="auto"/>
        <w:ind w:left="144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Individual Directive: Operation Nautilus</w:t>
      </w:r>
    </w:p>
    <w:p w:rsidR="00000000" w:rsidDel="00000000" w:rsidP="00000000" w:rsidRDefault="00000000" w:rsidRPr="00000000" w14:paraId="00000072">
      <w:pPr>
        <w:spacing w:line="48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Under my authority as Commander, USPACOM, move the following ships from the US base in Yokosuka, Japan to 15 nautical miles NE of the Straits of Malacca in the South China Sea: </w:t>
      </w:r>
    </w:p>
    <w:p w:rsidR="00000000" w:rsidDel="00000000" w:rsidP="00000000" w:rsidRDefault="00000000" w:rsidRPr="00000000" w14:paraId="00000073">
      <w:pPr>
        <w:spacing w:line="48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Arleigh Burke Class Destroyers: Fitzgerald and Stethern </w:t>
      </w:r>
    </w:p>
    <w:p w:rsidR="00000000" w:rsidDel="00000000" w:rsidP="00000000" w:rsidRDefault="00000000" w:rsidRPr="00000000" w14:paraId="00000074">
      <w:pPr>
        <w:spacing w:line="48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Virginia Class Submarine: USS Texas (SSN-775)</w:t>
      </w:r>
    </w:p>
    <w:p w:rsidR="00000000" w:rsidDel="00000000" w:rsidP="00000000" w:rsidRDefault="00000000" w:rsidRPr="00000000" w14:paraId="00000075">
      <w:pPr>
        <w:spacing w:line="48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Nimitz Class Aircraft Carrier: George Washington</w:t>
      </w:r>
    </w:p>
    <w:p w:rsidR="00000000" w:rsidDel="00000000" w:rsidP="00000000" w:rsidRDefault="00000000" w:rsidRPr="00000000" w14:paraId="00000076">
      <w:pPr>
        <w:spacing w:line="48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They will be moved on the 15th of September, 2015 at 21:30 (GMT+9)</w:t>
      </w:r>
    </w:p>
    <w:p w:rsidR="00000000" w:rsidDel="00000000" w:rsidP="00000000" w:rsidRDefault="00000000" w:rsidRPr="00000000" w14:paraId="00000077">
      <w:pPr>
        <w:spacing w:line="48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They will patrol the area and protect oil trade to the Philippines, a close US ally</w:t>
      </w:r>
    </w:p>
    <w:p w:rsidR="00000000" w:rsidDel="00000000" w:rsidP="00000000" w:rsidRDefault="00000000" w:rsidRPr="00000000" w14:paraId="00000078">
      <w:pPr>
        <w:spacing w:line="48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Through these measures, I expect all piracy against commercial and military vessels in the area to cease, and any pirates to be</w:t>
      </w:r>
    </w:p>
    <w:p w:rsidR="00000000" w:rsidDel="00000000" w:rsidP="00000000" w:rsidRDefault="00000000" w:rsidRPr="00000000" w14:paraId="00000079">
      <w:pPr>
        <w:spacing w:line="48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captured and reported to me.</w:t>
      </w:r>
    </w:p>
    <w:p w:rsidR="00000000" w:rsidDel="00000000" w:rsidP="00000000" w:rsidRDefault="00000000" w:rsidRPr="00000000" w14:paraId="0000007A">
      <w:pPr>
        <w:spacing w:line="48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SIGNED: Commander Harper, US Pacific Command</w:t>
      </w:r>
    </w:p>
    <w:p w:rsidR="00000000" w:rsidDel="00000000" w:rsidP="00000000" w:rsidRDefault="00000000" w:rsidRPr="00000000" w14:paraId="0000007B">
      <w:pPr>
        <w:numPr>
          <w:ilvl w:val="0"/>
          <w:numId w:val="8"/>
        </w:numPr>
        <w:spacing w:line="480"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Annex 3: Press Release</w:t>
      </w:r>
    </w:p>
    <w:p w:rsidR="00000000" w:rsidDel="00000000" w:rsidP="00000000" w:rsidRDefault="00000000" w:rsidRPr="00000000" w14:paraId="0000007C">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United Nations Security Council,</w:t>
      </w:r>
    </w:p>
    <w:p w:rsidR="00000000" w:rsidDel="00000000" w:rsidP="00000000" w:rsidRDefault="00000000" w:rsidRPr="00000000" w14:paraId="0000007D">
      <w:pPr>
        <w:spacing w:line="48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Condemns the assassination of the Ukranian permament representative to UNSC Valodymr Yelchenko and sends It’s deep condolences to Ukranine and his family. The UNSC has been debating the assassination of the Representative. UNSC decided that a joint international investigation team must be established under the roof of the UN and International Court of Justice. UNSC will work together with other branches of the UN, such as IMSO, ITSO, ITU, in order to investigate the case. UNSC is aware that INTERPOL has already conducted an investigation and UNSC will cooperate with INTERPOL in this investigation process.</w:t>
      </w:r>
    </w:p>
    <w:p w:rsidR="00000000" w:rsidDel="00000000" w:rsidP="00000000" w:rsidRDefault="00000000" w:rsidRPr="00000000" w14:paraId="0000007E">
      <w:pPr>
        <w:spacing w:line="480" w:lineRule="auto"/>
        <w:ind w:left="72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F">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-158161</wp:posOffset>
          </wp:positionV>
          <wp:extent cx="1902500" cy="903688"/>
          <wp:effectExtent b="0" l="0" r="0" t="0"/>
          <wp:wrapNone/>
          <wp:docPr id="2" name="image2.png"/>
          <a:graphic>
            <a:graphicData uri="http://schemas.openxmlformats.org/drawingml/2006/picture">
              <pic:pic>
                <pic:nvPicPr>
                  <pic:cNvPr id="0" name="image2.png"/>
                  <pic:cNvPicPr preferRelativeResize="0"/>
                </pic:nvPicPr>
                <pic:blipFill>
                  <a:blip r:embed="rId1">
                    <a:alphaModFix amt="50000"/>
                  </a:blip>
                  <a:srcRect b="0" l="0" r="0" t="0"/>
                  <a:stretch>
                    <a:fillRect/>
                  </a:stretch>
                </pic:blipFill>
                <pic:spPr>
                  <a:xfrm>
                    <a:off x="0" y="0"/>
                    <a:ext cx="1902500" cy="90368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drawing>
        <wp:anchor allowOverlap="1" behindDoc="1" distB="114300" distT="114300" distL="114300" distR="114300" hidden="0" layoutInCell="1" locked="0" relativeHeight="0" simplePos="0">
          <wp:simplePos x="0" y="0"/>
          <wp:positionH relativeFrom="margin">
            <wp:posOffset>4748213</wp:posOffset>
          </wp:positionH>
          <wp:positionV relativeFrom="margin">
            <wp:posOffset>-908637</wp:posOffset>
          </wp:positionV>
          <wp:extent cx="1886717" cy="903600"/>
          <wp:effectExtent b="0" l="0" r="0" t="0"/>
          <wp:wrapNone/>
          <wp:docPr id="1"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1886717" cy="903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LtZIGvq9MlJu_8WlzndTcxHwASRW6TPjCN7MP-S3GDw/edit?usp=sharing" TargetMode="External"/><Relationship Id="rId7" Type="http://schemas.openxmlformats.org/officeDocument/2006/relationships/hyperlink" Target="https://docs.google.com/document/d/16sU06UWE3FWhmqTGQeayqYiQUfphXSLtLB08oug5cPc/edit?usp=sharing" TargetMode="External"/><Relationship Id="rId8" Type="http://schemas.openxmlformats.org/officeDocument/2006/relationships/hyperlink" Target="https://docs.google.com/document/d/1SHe5egwZ-AEzgw9eRQnOAE2R761M2_ThKORWe8NUG20/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