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0" distR="0" hidden="0" layoutInCell="1" locked="0" relativeHeight="0" simplePos="0">
            <wp:simplePos x="0" y="0"/>
            <wp:positionH relativeFrom="page">
              <wp:posOffset>4552950</wp:posOffset>
            </wp:positionH>
            <wp:positionV relativeFrom="page">
              <wp:posOffset>581025</wp:posOffset>
            </wp:positionV>
            <wp:extent cx="2395538" cy="119776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5538" cy="1197769"/>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Country: United Kingdom</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North Atlantic Treaty Organization (NATO)</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Addressing the Strategic Implications of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China’s Expanding Global Influence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Kingdom recognises the People’s Republic of China as an expanding, both globally, economically, and strategically, a challenge to the international order and a defining factor in global security through its increased activities in Indo-Pacific, which have reshaped strategic realities for NATO and its allies.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Kingdom believes that NATO should focus and evolve beyond Europe and focus on the Euro-Atlantic relations and powers to address the global challenges. The United Kingdom thinks allies must focus on developing their technological resources, such as AI, cybersecurity, barriers and other technological improvements, while also keeping and improving their diplomatic relations. As mentioned, the United Kingdom supports technological improvement and also NATO’s collective defence through cybersecurity,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emerging technology innovation, and intelligence sharing. To address this issue, London supports the establishment of a NATO Cyber Resilience Initiative that aims to deepen cooperation with Indo-Pacific partners, importantly Japan and South Korea, in areas such as quantum computing and data protection. The UK further calls for cyber to obstruct and technology protection in NATO’s Strategic Concept, ensuring that attacks on critical networks are recognised as threats to general security. The United Kingdom also supports the idea of developing secure, sustainable alternatives to China’s Belt and Road Initiative through cooperation with the G7’s Partnership for Global Infrastructure and Investment and the EU Global Gateway. These measures will strengthen economic independence and further strategies. The United Kingdom claims its partnership in NATO in the Indo-Pacific through mechanisms such as the AUKUS agreement and engagement with the Indo-Pacific Four; Australia, Japan, Korea, and New Zealand. These partnerships develop freedom in the area. The United Kingdom claims that security in the Indo-Pacific and Euro-Atlantic regions is not in its best shape, and global cooperation is necessary to keep up the stability and democratic environment. The solutions regarding the topic for the United Kingdom to modernise UK Armed Forces, investing in cyber capabilities, AI-driven defence systems, and expansion to counter China's growing military presence, especially in the Indo-Pacific area. Supporting NATO Coordination systems for clearer NATO policies on direct screening and critical infrastructure protection to prevent Chinese strategic plans.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Kingdom supports NATO’s global movements, technological developments, cyber systems, economic independence aside from China, and stronger Indo-Pacific partnerships, while modernising its own forces to meet the challenge of incoming strategies.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