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98" w:rsidRDefault="00373598">
      <w:pPr>
        <w:rPr>
          <w:rFonts w:ascii="Times New Roman" w:hAnsi="Times New Roman" w:cs="Times New Roman"/>
          <w:sz w:val="24"/>
          <w:szCs w:val="24"/>
        </w:rPr>
      </w:pPr>
      <w:r w:rsidRPr="00F67BB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41FCDB" wp14:editId="308E55F8">
            <wp:simplePos x="0" y="0"/>
            <wp:positionH relativeFrom="margin">
              <wp:posOffset>3586480</wp:posOffset>
            </wp:positionH>
            <wp:positionV relativeFrom="margin">
              <wp:align>top</wp:align>
            </wp:positionV>
            <wp:extent cx="1885950" cy="1131570"/>
            <wp:effectExtent l="0" t="0" r="0" b="0"/>
            <wp:wrapSquare wrapText="bothSides"/>
            <wp:docPr id="1" name="Resim 1" descr="Dosya:Flag of Lithuania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Lithuania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BC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67BBC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="00F67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7BBC" w:rsidRDefault="00F67B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UNEP</w:t>
      </w:r>
    </w:p>
    <w:p w:rsidR="00373598" w:rsidRDefault="00F67B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3735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3598" w:rsidRDefault="00373598">
      <w:pPr>
        <w:rPr>
          <w:rFonts w:ascii="Times New Roman" w:hAnsi="Times New Roman" w:cs="Times New Roman"/>
          <w:sz w:val="24"/>
          <w:szCs w:val="24"/>
        </w:rPr>
      </w:pPr>
    </w:p>
    <w:p w:rsidR="00360E61" w:rsidRPr="005C2B45" w:rsidRDefault="00360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23513" w:rsidRPr="00B23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World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Health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Organization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(WHO)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calls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greatest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threat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global</w:t>
      </w:r>
      <w:proofErr w:type="gram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health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21st </w:t>
      </w:r>
      <w:proofErr w:type="spellStart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century</w:t>
      </w:r>
      <w:proofErr w:type="spellEnd"/>
      <w:r w:rsidR="00B23513" w:rsidRPr="00B235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B23513" w:rsidRPr="00B2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threatens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people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with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food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water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scarcity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increased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flooding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extreme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heat</w:t>
      </w:r>
      <w:proofErr w:type="spellEnd"/>
      <w:r w:rsidR="00B23513" w:rsidRPr="00B2351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more</w:t>
      </w:r>
      <w:proofErr w:type="spellEnd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disease</w:t>
      </w:r>
      <w:proofErr w:type="spellEnd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and</w:t>
      </w:r>
      <w:proofErr w:type="spellEnd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economic</w:t>
      </w:r>
      <w:proofErr w:type="spellEnd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23513" w:rsidRPr="005C2B4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loss</w:t>
      </w:r>
      <w:proofErr w:type="spellEnd"/>
      <w:r w:rsidR="00B23513" w:rsidRPr="005C2B4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B23513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13" w:rsidRPr="005C2B45">
        <w:rPr>
          <w:rFonts w:ascii="Times New Roman" w:hAnsi="Times New Roman" w:cs="Times New Roman"/>
          <w:sz w:val="24"/>
          <w:szCs w:val="24"/>
        </w:rPr>
        <w:t>Therefo</w:t>
      </w:r>
      <w:r w:rsidRPr="005C2B4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forestall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>.</w:t>
      </w:r>
    </w:p>
    <w:p w:rsidR="00360E61" w:rsidRDefault="00360E61" w:rsidP="005C2B45">
      <w:pPr>
        <w:rPr>
          <w:rFonts w:ascii="Times New Roman" w:hAnsi="Times New Roman" w:cs="Times New Roman"/>
          <w:sz w:val="24"/>
          <w:szCs w:val="24"/>
        </w:rPr>
      </w:pPr>
      <w:r w:rsidRPr="005C2B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negati</w:t>
      </w:r>
      <w:r w:rsidR="005C2B45" w:rsidRPr="005C2B45">
        <w:rPr>
          <w:rFonts w:ascii="Times New Roman" w:hAnsi="Times New Roman" w:cs="Times New Roman"/>
          <w:sz w:val="24"/>
          <w:szCs w:val="24"/>
        </w:rPr>
        <w:t>vely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hurricane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Curonian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Lagoon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5C2B45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5C2B45" w:rsidRPr="005C2B45">
        <w:rPr>
          <w:rFonts w:ascii="Times New Roman" w:hAnsi="Times New Roman" w:cs="Times New Roman"/>
          <w:sz w:val="24"/>
          <w:szCs w:val="24"/>
        </w:rPr>
        <w:t>.</w:t>
      </w:r>
    </w:p>
    <w:p w:rsidR="001066CC" w:rsidRDefault="005C2B45" w:rsidP="005C2B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C2B45">
        <w:rPr>
          <w:rFonts w:ascii="Times New Roman" w:hAnsi="Times New Roman" w:cs="Times New Roman"/>
          <w:sz w:val="24"/>
          <w:szCs w:val="24"/>
        </w:rPr>
        <w:t>ithuania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years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45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5C2B45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Lithuania's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aligned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aspirations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zero-emission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fossil-based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2050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scaling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restructuring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F218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F2182" w:rsidRPr="001F2182">
        <w:rPr>
          <w:rFonts w:ascii="Times New Roman" w:hAnsi="Times New Roman" w:cs="Times New Roman"/>
          <w:sz w:val="24"/>
          <w:szCs w:val="24"/>
        </w:rPr>
        <w:t xml:space="preserve"> </w:t>
      </w:r>
      <w:r w:rsidR="001F2182" w:rsidRPr="001066CC">
        <w:rPr>
          <w:rFonts w:ascii="Times New Roman" w:hAnsi="Times New Roman" w:cs="Times New Roman"/>
          <w:sz w:val="24"/>
          <w:szCs w:val="24"/>
        </w:rPr>
        <w:t xml:space="preserve">outlines </w:t>
      </w:r>
      <w:proofErr w:type="spellStart"/>
      <w:r w:rsidR="001F2182" w:rsidRPr="001066C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2182" w:rsidRPr="0010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1F2182" w:rsidRPr="0010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2182" w:rsidRPr="001066CC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2010,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Lithuania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became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net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importer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electricity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2030,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government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aims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reverse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dependency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produce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70% of its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electricity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needs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domestically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Renewable</w:t>
      </w:r>
      <w:proofErr w:type="spellEnd"/>
      <w:r w:rsidR="001066CC" w:rsidRPr="001066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energy</w:t>
      </w:r>
      <w:proofErr w:type="spellEnd"/>
      <w:r w:rsidR="001066CC" w:rsidRPr="001066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1066CC" w:rsidRPr="001066C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Lithuania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constitutes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some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energy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produced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country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2016, it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constituted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27.9% of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country's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overall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electricity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generation</w:t>
      </w:r>
      <w:proofErr w:type="spellEnd"/>
      <w:r w:rsid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Previously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Lithuanian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government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aimed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generate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23% of total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power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from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renewable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resources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by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2020,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goal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was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achieved</w:t>
      </w:r>
      <w:proofErr w:type="spellEnd"/>
      <w:r w:rsidR="001066CC" w:rsidRPr="001066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2014 (23.9%).</w:t>
      </w:r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Lithuania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signed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Paris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Agreement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legally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binding</w:t>
      </w:r>
      <w:proofErr w:type="spellEnd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2182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</w:t>
      </w:r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tional</w:t>
      </w:r>
      <w:proofErr w:type="spellEnd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treaty</w:t>
      </w:r>
      <w:proofErr w:type="spellEnd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="001066CC" w:rsidRPr="0010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22nd of April, 2016.</w:t>
      </w:r>
    </w:p>
    <w:p w:rsidR="005C2B45" w:rsidRDefault="001066CC" w:rsidP="00E747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="00E74767" w:rsidRPr="00E7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E74767" w:rsidRPr="00E7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Lithuania</w:t>
      </w:r>
      <w:proofErr w:type="spellEnd"/>
      <w:r w:rsidR="00E74767" w:rsidRPr="00E7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2019, 60.1 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total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renewable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sources.</w:t>
      </w:r>
      <w:r w:rsidR="005C2B45" w:rsidRPr="00E74767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greatest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firewood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, wood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45" w:rsidRPr="00E74767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5C2B45" w:rsidRPr="00E74767">
        <w:rPr>
          <w:rFonts w:ascii="Times New Roman" w:hAnsi="Times New Roman" w:cs="Times New Roman"/>
          <w:sz w:val="24"/>
          <w:szCs w:val="24"/>
        </w:rPr>
        <w:t>.</w:t>
      </w:r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biogas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amo</w:t>
      </w:r>
      <w:r w:rsidR="00E74767" w:rsidRPr="00E74767">
        <w:rPr>
          <w:rFonts w:ascii="Times New Roman" w:hAnsi="Times New Roman" w:cs="Times New Roman"/>
          <w:sz w:val="24"/>
          <w:szCs w:val="24"/>
        </w:rPr>
        <w:t>unted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154.4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>,</w:t>
      </w:r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</w:t>
      </w:r>
      <w:r w:rsidR="00E7476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E74767">
        <w:rPr>
          <w:rFonts w:ascii="Times New Roman" w:hAnsi="Times New Roman" w:cs="Times New Roman"/>
          <w:sz w:val="24"/>
          <w:szCs w:val="24"/>
        </w:rPr>
        <w:t xml:space="preserve"> 10.4 </w:t>
      </w:r>
      <w:proofErr w:type="spellStart"/>
      <w:r w:rsidR="00E74767">
        <w:rPr>
          <w:rFonts w:ascii="Times New Roman" w:hAnsi="Times New Roman" w:cs="Times New Roman"/>
          <w:sz w:val="24"/>
          <w:szCs w:val="24"/>
        </w:rPr>
        <w:t>per</w:t>
      </w:r>
      <w:r w:rsidR="00E74767" w:rsidRPr="00E74767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2018.</w:t>
      </w:r>
      <w:r w:rsidR="00E74767" w:rsidRPr="00E747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biodiesel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biodiesel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in transport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amounted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74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15.1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E74767" w:rsidRPr="00E74767">
        <w:rPr>
          <w:rFonts w:ascii="Times New Roman" w:hAnsi="Times New Roman" w:cs="Times New Roman"/>
          <w:sz w:val="24"/>
          <w:szCs w:val="24"/>
        </w:rPr>
        <w:t>.</w:t>
      </w:r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thereof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 xml:space="preserve"> (50.1 </w:t>
      </w:r>
      <w:proofErr w:type="spellStart"/>
      <w:r w:rsidRPr="00E74767">
        <w:rPr>
          <w:rFonts w:ascii="Times New Roman" w:hAnsi="Times New Roman" w:cs="Times New Roman"/>
          <w:sz w:val="24"/>
          <w:szCs w:val="24"/>
        </w:rPr>
        <w:t>perce</w:t>
      </w:r>
      <w:r w:rsidR="00E74767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E747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747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47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74767">
        <w:rPr>
          <w:rFonts w:ascii="Times New Roman" w:hAnsi="Times New Roman" w:cs="Times New Roman"/>
          <w:sz w:val="24"/>
          <w:szCs w:val="24"/>
        </w:rPr>
        <w:t>households</w:t>
      </w:r>
      <w:proofErr w:type="spellEnd"/>
      <w:r w:rsidR="00E74767">
        <w:rPr>
          <w:rFonts w:ascii="Times New Roman" w:hAnsi="Times New Roman" w:cs="Times New Roman"/>
          <w:sz w:val="24"/>
          <w:szCs w:val="24"/>
        </w:rPr>
        <w:t xml:space="preserve"> (37.6 </w:t>
      </w:r>
      <w:proofErr w:type="spellStart"/>
      <w:r w:rsidR="00E74767">
        <w:rPr>
          <w:rFonts w:ascii="Times New Roman" w:hAnsi="Times New Roman" w:cs="Times New Roman"/>
          <w:sz w:val="24"/>
          <w:szCs w:val="24"/>
        </w:rPr>
        <w:t>per</w:t>
      </w:r>
      <w:r w:rsidRPr="00E74767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E74767">
        <w:rPr>
          <w:rFonts w:ascii="Times New Roman" w:hAnsi="Times New Roman" w:cs="Times New Roman"/>
          <w:sz w:val="24"/>
          <w:szCs w:val="24"/>
        </w:rPr>
        <w:t>).</w:t>
      </w:r>
      <w:r w:rsidR="00E74767" w:rsidRPr="00E7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Lithuania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wind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farms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together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small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wind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plants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1.5 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Twh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which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slightly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one-third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total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</w:t>
      </w:r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 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country</w:t>
      </w:r>
      <w:proofErr w:type="spellEnd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proofErr w:type="spellEnd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over</w:t>
      </w:r>
      <w:proofErr w:type="spellEnd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11.2 </w:t>
      </w:r>
      <w:proofErr w:type="spellStart"/>
      <w:r w:rsid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consumed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Currently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there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23 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wind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farms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Lithuania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Together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small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plants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total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capacity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installed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plants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amounted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534 MW at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2019.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regards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renewable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 2019,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solar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plants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amounted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91.1 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million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kWh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5.2 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2018.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quite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important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 it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promotes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local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generation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contributes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implementation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international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climate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change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mitigation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goals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2019,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hydropower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plants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produced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345.4 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million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kWh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  <w:proofErr w:type="spellEnd"/>
      <w:r w:rsidR="00E74767" w:rsidRPr="00E74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F06EC" w:rsidRPr="0024385D" w:rsidRDefault="009F06EC" w:rsidP="00E74767">
      <w:pPr>
        <w:rPr>
          <w:rFonts w:ascii="Times New Roman" w:hAnsi="Times New Roman" w:cs="Times New Roman"/>
          <w:sz w:val="24"/>
          <w:szCs w:val="24"/>
        </w:rPr>
      </w:pPr>
    </w:p>
    <w:p w:rsidR="00E74767" w:rsidRPr="0024385D" w:rsidRDefault="00E74767" w:rsidP="00E747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Renewable</w:t>
      </w:r>
      <w:proofErr w:type="spellEnd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energy</w:t>
      </w:r>
      <w:proofErr w:type="spellEnd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resources</w:t>
      </w:r>
      <w:proofErr w:type="spellEnd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consumption</w:t>
      </w:r>
      <w:proofErr w:type="spellEnd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structure</w:t>
      </w:r>
      <w:proofErr w:type="spellEnd"/>
      <w:r w:rsidRPr="0024385D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2019</w:t>
      </w:r>
    </w:p>
    <w:p w:rsidR="001066CC" w:rsidRDefault="001066CC" w:rsidP="001066C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4271963" cy="28479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227" cy="28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67" w:rsidRDefault="00E74767" w:rsidP="001066C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6EC" w:rsidRPr="009F06EC" w:rsidRDefault="009F06EC" w:rsidP="009F06E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Share</w:t>
      </w:r>
      <w:proofErr w:type="spellEnd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of </w:t>
      </w:r>
      <w:proofErr w:type="spellStart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renewable</w:t>
      </w:r>
      <w:proofErr w:type="spellEnd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energy</w:t>
      </w:r>
      <w:proofErr w:type="spellEnd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resources</w:t>
      </w:r>
      <w:proofErr w:type="spellEnd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in </w:t>
      </w:r>
      <w:proofErr w:type="spellStart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consumption</w:t>
      </w:r>
      <w:proofErr w:type="spellEnd"/>
      <w:r w:rsidRPr="009F0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, 2015–2019</w:t>
      </w:r>
      <w:r w:rsidRPr="00243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Pr="002438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(</w:t>
      </w:r>
      <w:proofErr w:type="spellStart"/>
      <w:r w:rsidRPr="002438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Percent</w:t>
      </w:r>
      <w:proofErr w:type="spellEnd"/>
      <w:r w:rsidRPr="002438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015"/>
        <w:gridCol w:w="1015"/>
        <w:gridCol w:w="1015"/>
        <w:gridCol w:w="1015"/>
        <w:gridCol w:w="1015"/>
      </w:tblGrid>
      <w:tr w:rsidR="009F06EC" w:rsidRPr="009F06EC" w:rsidTr="009F06EC">
        <w:trPr>
          <w:trHeight w:val="60"/>
        </w:trPr>
        <w:tc>
          <w:tcPr>
            <w:tcW w:w="6900" w:type="dxa"/>
            <w:tcBorders>
              <w:top w:val="single" w:sz="8" w:space="0" w:color="F06482"/>
              <w:left w:val="single" w:sz="8" w:space="0" w:color="F06482"/>
              <w:bottom w:val="single" w:sz="8" w:space="0" w:color="F06482"/>
              <w:right w:val="single" w:sz="8" w:space="0" w:color="FFFFFF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single" w:sz="8" w:space="0" w:color="F06482"/>
              <w:left w:val="nil"/>
              <w:bottom w:val="single" w:sz="8" w:space="0" w:color="F06482"/>
              <w:right w:val="single" w:sz="8" w:space="0" w:color="FFFFFF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FFFFFF"/>
                <w:sz w:val="19"/>
                <w:szCs w:val="19"/>
                <w:lang w:eastAsia="tr-TR"/>
              </w:rPr>
              <w:t>2015</w:t>
            </w:r>
          </w:p>
        </w:tc>
        <w:tc>
          <w:tcPr>
            <w:tcW w:w="1425" w:type="dxa"/>
            <w:tcBorders>
              <w:top w:val="single" w:sz="8" w:space="0" w:color="F06482"/>
              <w:left w:val="nil"/>
              <w:bottom w:val="single" w:sz="8" w:space="0" w:color="F06482"/>
              <w:right w:val="single" w:sz="8" w:space="0" w:color="FFFFFF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FFFFFF"/>
                <w:sz w:val="19"/>
                <w:szCs w:val="19"/>
                <w:lang w:eastAsia="tr-TR"/>
              </w:rPr>
              <w:t>2016</w:t>
            </w:r>
          </w:p>
        </w:tc>
        <w:tc>
          <w:tcPr>
            <w:tcW w:w="1425" w:type="dxa"/>
            <w:tcBorders>
              <w:top w:val="single" w:sz="8" w:space="0" w:color="F06482"/>
              <w:left w:val="nil"/>
              <w:bottom w:val="single" w:sz="8" w:space="0" w:color="F06482"/>
              <w:right w:val="single" w:sz="8" w:space="0" w:color="FFFFFF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FFFFFF"/>
                <w:sz w:val="19"/>
                <w:szCs w:val="19"/>
                <w:lang w:eastAsia="tr-TR"/>
              </w:rPr>
              <w:t>2017</w:t>
            </w:r>
          </w:p>
        </w:tc>
        <w:tc>
          <w:tcPr>
            <w:tcW w:w="1425" w:type="dxa"/>
            <w:tcBorders>
              <w:top w:val="single" w:sz="8" w:space="0" w:color="F06482"/>
              <w:left w:val="nil"/>
              <w:bottom w:val="single" w:sz="8" w:space="0" w:color="F06482"/>
              <w:right w:val="single" w:sz="8" w:space="0" w:color="FFFFFF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FFFFFF"/>
                <w:sz w:val="19"/>
                <w:szCs w:val="19"/>
                <w:lang w:eastAsia="tr-TR"/>
              </w:rPr>
              <w:t>2018</w:t>
            </w:r>
          </w:p>
        </w:tc>
        <w:tc>
          <w:tcPr>
            <w:tcW w:w="1425" w:type="dxa"/>
            <w:tcBorders>
              <w:top w:val="single" w:sz="8" w:space="0" w:color="F06482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064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FFFFFF"/>
                <w:sz w:val="19"/>
                <w:szCs w:val="19"/>
                <w:lang w:eastAsia="tr-TR"/>
              </w:rPr>
              <w:t>2019</w:t>
            </w:r>
          </w:p>
        </w:tc>
      </w:tr>
      <w:tr w:rsidR="009F06EC" w:rsidRPr="009F06EC" w:rsidTr="009F06EC">
        <w:trPr>
          <w:trHeight w:val="60"/>
        </w:trPr>
        <w:tc>
          <w:tcPr>
            <w:tcW w:w="6900" w:type="dxa"/>
            <w:tcBorders>
              <w:top w:val="nil"/>
              <w:left w:val="single" w:sz="8" w:space="0" w:color="F06482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In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final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gross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energy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consumption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25.8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25.6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26.0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25.3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25.5</w:t>
            </w:r>
          </w:p>
        </w:tc>
      </w:tr>
      <w:tr w:rsidR="009F06EC" w:rsidRPr="009F06EC" w:rsidTr="009F06EC">
        <w:trPr>
          <w:trHeight w:val="60"/>
        </w:trPr>
        <w:tc>
          <w:tcPr>
            <w:tcW w:w="6900" w:type="dxa"/>
            <w:tcBorders>
              <w:top w:val="nil"/>
              <w:left w:val="single" w:sz="8" w:space="0" w:color="F06482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In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final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energy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consumption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for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heating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and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cooling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46.1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46.6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46.5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45.6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47.4</w:t>
            </w:r>
          </w:p>
        </w:tc>
      </w:tr>
      <w:tr w:rsidR="009F06EC" w:rsidRPr="009F06EC" w:rsidTr="009F06EC">
        <w:trPr>
          <w:trHeight w:val="60"/>
        </w:trPr>
        <w:tc>
          <w:tcPr>
            <w:tcW w:w="6900" w:type="dxa"/>
            <w:tcBorders>
              <w:top w:val="nil"/>
              <w:left w:val="single" w:sz="8" w:space="0" w:color="F06482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In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gross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consumption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of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electricity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15.6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16.9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18.3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18.4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F064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18.8</w:t>
            </w:r>
          </w:p>
        </w:tc>
      </w:tr>
      <w:tr w:rsidR="009F06EC" w:rsidRPr="009F06EC" w:rsidTr="009F06EC">
        <w:trPr>
          <w:trHeight w:val="60"/>
        </w:trPr>
        <w:tc>
          <w:tcPr>
            <w:tcW w:w="6900" w:type="dxa"/>
            <w:tcBorders>
              <w:top w:val="nil"/>
              <w:left w:val="single" w:sz="8" w:space="0" w:color="F06482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In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final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energy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consumption</w:t>
            </w:r>
            <w:proofErr w:type="spellEnd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 xml:space="preserve"> in transport </w:t>
            </w:r>
            <w:proofErr w:type="spellStart"/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sector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3.6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06482"/>
              <w:right w:val="single" w:sz="8" w:space="0" w:color="F0648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EC" w:rsidRPr="009F06EC" w:rsidRDefault="009F06EC" w:rsidP="009F06EC">
            <w:pPr>
              <w:spacing w:before="40" w:after="4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9F06EC">
              <w:rPr>
                <w:rFonts w:ascii="Arial" w:eastAsia="Times New Roman" w:hAnsi="Arial" w:cs="Arial"/>
                <w:color w:val="333333"/>
                <w:sz w:val="19"/>
                <w:szCs w:val="19"/>
                <w:lang w:eastAsia="tr-TR"/>
              </w:rPr>
              <w:t>4.0</w:t>
            </w:r>
          </w:p>
        </w:tc>
      </w:tr>
    </w:tbl>
    <w:p w:rsidR="00E74767" w:rsidRDefault="00E74767" w:rsidP="009F06E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4767" w:rsidRDefault="00E74767" w:rsidP="001066C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3598" w:rsidRPr="00B23513" w:rsidRDefault="009F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9F06EC">
        <w:rPr>
          <w:rFonts w:ascii="Times New Roman" w:hAnsi="Times New Roman" w:cs="Times New Roman"/>
          <w:sz w:val="24"/>
          <w:szCs w:val="24"/>
        </w:rPr>
        <w:t>lthough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is still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F0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E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385D" w:rsidRPr="002438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4385D" w:rsidRPr="00243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385D" w:rsidRPr="0024385D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598" w:rsidRPr="00B235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3598" w:rsidRDefault="00373598">
      <w:pPr>
        <w:rPr>
          <w:rFonts w:ascii="Times New Roman" w:hAnsi="Times New Roman" w:cs="Times New Roman"/>
          <w:sz w:val="24"/>
          <w:szCs w:val="24"/>
        </w:rPr>
      </w:pPr>
    </w:p>
    <w:p w:rsidR="00373598" w:rsidRDefault="0037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385D" w:rsidRDefault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24385D" w:rsidP="00243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Works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Cited</w:t>
      </w:r>
      <w:proofErr w:type="spellEnd"/>
    </w:p>
    <w:p w:rsidR="00B22737" w:rsidRDefault="00B22737" w:rsidP="00243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385D" w:rsidRDefault="00B22737" w:rsidP="0024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Nations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Collection     treaties</w:t>
      </w:r>
      <w:proofErr w:type="gramEnd"/>
      <w:r>
        <w:rPr>
          <w:rFonts w:ascii="Times New Roman" w:hAnsi="Times New Roman" w:cs="Times New Roman"/>
          <w:sz w:val="24"/>
          <w:szCs w:val="24"/>
        </w:rPr>
        <w:t>.un.org</w:t>
      </w:r>
    </w:p>
    <w:p w:rsidR="00B22737" w:rsidRDefault="00B22737" w:rsidP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irena</w:t>
      </w:r>
      <w:proofErr w:type="gramEnd"/>
      <w:r>
        <w:rPr>
          <w:rFonts w:ascii="Times New Roman" w:hAnsi="Times New Roman" w:cs="Times New Roman"/>
          <w:sz w:val="24"/>
          <w:szCs w:val="24"/>
        </w:rPr>
        <w:t>.org</w:t>
      </w:r>
    </w:p>
    <w:p w:rsidR="00B22737" w:rsidRDefault="00B22737" w:rsidP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B22737" w:rsidP="00243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europarl.europa</w:t>
      </w:r>
      <w:proofErr w:type="gramEnd"/>
      <w:r>
        <w:rPr>
          <w:rFonts w:ascii="Times New Roman" w:hAnsi="Times New Roman" w:cs="Times New Roman"/>
          <w:sz w:val="24"/>
          <w:szCs w:val="24"/>
        </w:rPr>
        <w:t>.eu</w:t>
      </w:r>
    </w:p>
    <w:p w:rsidR="00B22737" w:rsidRDefault="00B22737" w:rsidP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Portal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osp.stat</w:t>
      </w:r>
      <w:proofErr w:type="gramEnd"/>
      <w:r>
        <w:rPr>
          <w:rFonts w:ascii="Times New Roman" w:hAnsi="Times New Roman" w:cs="Times New Roman"/>
          <w:sz w:val="24"/>
          <w:szCs w:val="24"/>
        </w:rPr>
        <w:t>.gov.lt</w:t>
      </w:r>
      <w:proofErr w:type="spellEnd"/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hivepower.tech</w:t>
      </w:r>
      <w:proofErr w:type="spellEnd"/>
      <w:proofErr w:type="gramEnd"/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</w:p>
    <w:p w:rsid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en</w:t>
      </w:r>
      <w:proofErr w:type="gramEnd"/>
      <w:r>
        <w:rPr>
          <w:rFonts w:ascii="Times New Roman" w:hAnsi="Times New Roman" w:cs="Times New Roman"/>
          <w:sz w:val="24"/>
          <w:szCs w:val="24"/>
        </w:rPr>
        <w:t>.wikipedia.org</w:t>
      </w:r>
    </w:p>
    <w:p w:rsidR="0024385D" w:rsidRPr="0024385D" w:rsidRDefault="0024385D" w:rsidP="0024385D">
      <w:pPr>
        <w:rPr>
          <w:rFonts w:ascii="Times New Roman" w:hAnsi="Times New Roman" w:cs="Times New Roman"/>
          <w:sz w:val="24"/>
          <w:szCs w:val="24"/>
        </w:rPr>
      </w:pPr>
    </w:p>
    <w:p w:rsidR="00F67BBC" w:rsidRPr="00F67BBC" w:rsidRDefault="0037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F67BBC" w:rsidRPr="00F6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9E"/>
    <w:rsid w:val="001066CC"/>
    <w:rsid w:val="001F2182"/>
    <w:rsid w:val="0024385D"/>
    <w:rsid w:val="00360E61"/>
    <w:rsid w:val="00373598"/>
    <w:rsid w:val="00481698"/>
    <w:rsid w:val="005C2B45"/>
    <w:rsid w:val="009F06EC"/>
    <w:rsid w:val="00B22737"/>
    <w:rsid w:val="00B23513"/>
    <w:rsid w:val="00BC599E"/>
    <w:rsid w:val="00E74767"/>
    <w:rsid w:val="00F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9848"/>
  <w15:chartTrackingRefBased/>
  <w15:docId w15:val="{F38477AD-2502-46B5-B57E-264FC23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2182"/>
    <w:rPr>
      <w:b/>
      <w:bCs/>
    </w:rPr>
  </w:style>
  <w:style w:type="character" w:styleId="Kpr">
    <w:name w:val="Hyperlink"/>
    <w:basedOn w:val="VarsaylanParagrafYazTipi"/>
    <w:uiPriority w:val="99"/>
    <w:unhideWhenUsed/>
    <w:rsid w:val="001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ÇOŞAR</dc:creator>
  <cp:keywords/>
  <dc:description/>
  <cp:lastModifiedBy>HAKAN ÇOŞAR</cp:lastModifiedBy>
  <cp:revision>2</cp:revision>
  <dcterms:created xsi:type="dcterms:W3CDTF">2022-06-09T17:26:00Z</dcterms:created>
  <dcterms:modified xsi:type="dcterms:W3CDTF">2022-06-09T21:21:00Z</dcterms:modified>
</cp:coreProperties>
</file>