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FE" w:rsidRPr="00172AC1" w:rsidRDefault="00172AC1">
      <w:pPr>
        <w:rPr>
          <w:rFonts w:ascii="Times New Roman" w:eastAsia="Calibri" w:hAnsi="Times New Roman" w:cs="Times New Roman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</w:t>
      </w:r>
      <w:r w:rsidRPr="00172AC1">
        <w:rPr>
          <w:rFonts w:ascii="Times New Roman" w:hAnsi="Times New Roman" w:cs="Times New Roman"/>
        </w:rPr>
        <w:object w:dxaOrig="2534" w:dyaOrig="1267">
          <v:rect id="rectole0000000000" o:spid="_x0000_i1025" style="width:126.75pt;height:63pt" o:ole="" o:preferrelative="t" stroked="f">
            <v:imagedata r:id="rId4" o:title=""/>
          </v:rect>
          <o:OLEObject Type="Embed" ProgID="StaticMetafile" ShapeID="rectole0000000000" DrawAspect="Content" ObjectID="_1700646969" r:id="rId5"/>
        </w:object>
      </w:r>
      <w:r w:rsidRPr="00172AC1">
        <w:rPr>
          <w:rFonts w:ascii="Times New Roman" w:eastAsia="Calibri" w:hAnsi="Times New Roman" w:cs="Times New Roman"/>
        </w:rPr>
        <w:t xml:space="preserve">    North </w:t>
      </w:r>
      <w:proofErr w:type="spellStart"/>
      <w:r w:rsidRPr="00172AC1">
        <w:rPr>
          <w:rFonts w:ascii="Times New Roman" w:eastAsia="Calibri" w:hAnsi="Times New Roman" w:cs="Times New Roman"/>
        </w:rPr>
        <w:t>Macedonia</w:t>
      </w:r>
      <w:proofErr w:type="spellEnd"/>
      <w:r w:rsidRPr="00172AC1">
        <w:rPr>
          <w:rFonts w:ascii="Times New Roman" w:eastAsia="Calibri" w:hAnsi="Times New Roman" w:cs="Times New Roman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</w:rPr>
        <w:t>Ethnic</w:t>
      </w:r>
      <w:proofErr w:type="spellEnd"/>
      <w:r w:rsidRPr="00172AC1">
        <w:rPr>
          <w:rFonts w:ascii="Times New Roman" w:eastAsia="Calibri" w:hAnsi="Times New Roman" w:cs="Times New Roman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</w:rPr>
        <w:t>Rivalry</w:t>
      </w:r>
      <w:proofErr w:type="spellEnd"/>
      <w:r w:rsidRPr="00172AC1">
        <w:rPr>
          <w:rFonts w:ascii="Times New Roman" w:hAnsi="Times New Roman" w:cs="Times New Roman"/>
        </w:rPr>
        <w:object w:dxaOrig="1980" w:dyaOrig="1379">
          <v:rect id="rectole0000000001" o:spid="_x0000_i1026" style="width:99pt;height:69pt" o:ole="" o:preferrelative="t" stroked="f">
            <v:imagedata r:id="rId6" o:title=""/>
          </v:rect>
          <o:OLEObject Type="Embed" ProgID="StaticMetafile" ShapeID="rectole0000000001" DrawAspect="Content" ObjectID="_1700646970" r:id="rId7"/>
        </w:object>
      </w:r>
    </w:p>
    <w:p w:rsidR="00EF49FE" w:rsidRPr="00172AC1" w:rsidRDefault="00172AC1">
      <w:pPr>
        <w:rPr>
          <w:rFonts w:ascii="Times New Roman" w:eastAsia="Calibri" w:hAnsi="Times New Roman" w:cs="Times New Roman"/>
        </w:rPr>
      </w:pPr>
      <w:proofErr w:type="spellStart"/>
      <w:proofErr w:type="gramStart"/>
      <w:r w:rsidRPr="00172AC1">
        <w:rPr>
          <w:rFonts w:ascii="Times New Roman" w:eastAsia="Calibri" w:hAnsi="Times New Roman" w:cs="Times New Roman"/>
        </w:rPr>
        <w:t>Country:Latvia</w:t>
      </w:r>
      <w:proofErr w:type="spellEnd"/>
      <w:proofErr w:type="gramEnd"/>
    </w:p>
    <w:p w:rsidR="00EF49FE" w:rsidRPr="00172AC1" w:rsidRDefault="00172AC1">
      <w:pPr>
        <w:rPr>
          <w:rFonts w:ascii="Times New Roman" w:eastAsia="Calibri" w:hAnsi="Times New Roman" w:cs="Times New Roman"/>
        </w:rPr>
      </w:pPr>
      <w:proofErr w:type="spellStart"/>
      <w:proofErr w:type="gramStart"/>
      <w:r w:rsidRPr="00172AC1">
        <w:rPr>
          <w:rFonts w:ascii="Times New Roman" w:eastAsia="Calibri" w:hAnsi="Times New Roman" w:cs="Times New Roman"/>
        </w:rPr>
        <w:t>Committee:Historical</w:t>
      </w:r>
      <w:proofErr w:type="spellEnd"/>
      <w:proofErr w:type="gramEnd"/>
      <w:r w:rsidRPr="00172AC1">
        <w:rPr>
          <w:rFonts w:ascii="Times New Roman" w:eastAsia="Calibri" w:hAnsi="Times New Roman" w:cs="Times New Roman"/>
        </w:rPr>
        <w:t xml:space="preserve"> North </w:t>
      </w:r>
      <w:proofErr w:type="spellStart"/>
      <w:r w:rsidRPr="00172AC1">
        <w:rPr>
          <w:rFonts w:ascii="Times New Roman" w:eastAsia="Calibri" w:hAnsi="Times New Roman" w:cs="Times New Roman"/>
        </w:rPr>
        <w:t>Atlantic</w:t>
      </w:r>
      <w:proofErr w:type="spellEnd"/>
      <w:r w:rsidRPr="00172AC1">
        <w:rPr>
          <w:rFonts w:ascii="Times New Roman" w:eastAsia="Calibri" w:hAnsi="Times New Roman" w:cs="Times New Roman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</w:rPr>
        <w:t>Treaty</w:t>
      </w:r>
      <w:proofErr w:type="spellEnd"/>
      <w:r w:rsidRPr="00172AC1">
        <w:rPr>
          <w:rFonts w:ascii="Times New Roman" w:eastAsia="Calibri" w:hAnsi="Times New Roman" w:cs="Times New Roman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</w:rPr>
        <w:t>Organization</w:t>
      </w:r>
      <w:proofErr w:type="spellEnd"/>
    </w:p>
    <w:p w:rsidR="00EF49FE" w:rsidRPr="00172AC1" w:rsidRDefault="00172AC1">
      <w:pPr>
        <w:rPr>
          <w:rFonts w:ascii="Times New Roman" w:eastAsia="Calibri" w:hAnsi="Times New Roman" w:cs="Times New Roman"/>
        </w:rPr>
      </w:pPr>
      <w:proofErr w:type="spellStart"/>
      <w:proofErr w:type="gramStart"/>
      <w:r w:rsidRPr="00172AC1">
        <w:rPr>
          <w:rFonts w:ascii="Times New Roman" w:eastAsia="Calibri" w:hAnsi="Times New Roman" w:cs="Times New Roman"/>
        </w:rPr>
        <w:t>Delegate:Ahmet</w:t>
      </w:r>
      <w:proofErr w:type="spellEnd"/>
      <w:proofErr w:type="gramEnd"/>
      <w:r w:rsidRPr="00172AC1">
        <w:rPr>
          <w:rFonts w:ascii="Times New Roman" w:eastAsia="Calibri" w:hAnsi="Times New Roman" w:cs="Times New Roman"/>
        </w:rPr>
        <w:t xml:space="preserve"> Kaan Yılmaz </w:t>
      </w:r>
    </w:p>
    <w:p w:rsidR="00EF49FE" w:rsidRPr="00172AC1" w:rsidRDefault="00EF49FE">
      <w:pPr>
        <w:rPr>
          <w:rFonts w:ascii="Times New Roman" w:eastAsia="Calibri" w:hAnsi="Times New Roman" w:cs="Times New Roman"/>
        </w:rPr>
      </w:pPr>
    </w:p>
    <w:p w:rsidR="00EF49FE" w:rsidRPr="00172AC1" w:rsidRDefault="00172AC1">
      <w:pPr>
        <w:rPr>
          <w:rFonts w:ascii="Times New Roman" w:eastAsia="Calibri" w:hAnsi="Times New Roman" w:cs="Times New Roman"/>
        </w:rPr>
      </w:pPr>
      <w:proofErr w:type="spellStart"/>
      <w:r w:rsidRPr="00172AC1">
        <w:rPr>
          <w:rFonts w:ascii="Times New Roman" w:eastAsia="Calibri" w:hAnsi="Times New Roman" w:cs="Times New Roman"/>
          <w:color w:val="333333"/>
        </w:rPr>
        <w:t>Sharing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borders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with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Kosovo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Serbia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Former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Yugoslav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Republic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(FYROM)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managed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avoid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becoming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directly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involved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drawn-out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wars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Bosnia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K</w:t>
      </w:r>
      <w:r w:rsidRPr="00172AC1">
        <w:rPr>
          <w:rFonts w:ascii="Times New Roman" w:eastAsia="Calibri" w:hAnsi="Times New Roman" w:cs="Times New Roman"/>
          <w:color w:val="333333"/>
        </w:rPr>
        <w:t>osovo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1990s. Inter-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ethnic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relations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between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Slav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majority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ethnic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Albanian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minority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while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often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tense,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never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reached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crisis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state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Albanian-Serb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relations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province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Kosovo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Since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Macedonia's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independence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1991,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ethnic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Albanian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political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parties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have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been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represented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government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parliament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However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early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2001,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ethnic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Albanian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rebels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calling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themselves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National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Liberation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Army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(NLA)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stepped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up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attacks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security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forces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firs</w:t>
      </w:r>
      <w:r w:rsidRPr="00172AC1">
        <w:rPr>
          <w:rFonts w:ascii="Times New Roman" w:eastAsia="Calibri" w:hAnsi="Times New Roman" w:cs="Times New Roman"/>
          <w:color w:val="333333"/>
        </w:rPr>
        <w:t>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several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villages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near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city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Tetovo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western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border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with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Kosovo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later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near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capital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Skopje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NLA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was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thought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have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ties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Kosovo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Liberation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Army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(KLA)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rebel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Albanian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forces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operating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southern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Serbia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March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government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began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a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counter-insurgency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campaign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opened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talks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political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reforms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with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elected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ethnic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Albanian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representatives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but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refused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negotiate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with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rebels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themselves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Clashes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between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rebels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government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forces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continue</w:t>
      </w:r>
      <w:r w:rsidRPr="00172AC1">
        <w:rPr>
          <w:rFonts w:ascii="Times New Roman" w:eastAsia="Calibri" w:hAnsi="Times New Roman" w:cs="Times New Roman"/>
          <w:color w:val="333333"/>
        </w:rPr>
        <w:t>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through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summer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2001,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notwithstanding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intermittent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cease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-fire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agreements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ongoing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political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talks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With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U.S.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European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diplomatic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intervention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parties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signed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a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framework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agreement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August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13,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amidst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deadliest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violence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confli</w:t>
      </w:r>
      <w:r w:rsidRPr="00172AC1">
        <w:rPr>
          <w:rFonts w:ascii="Times New Roman" w:eastAsia="Calibri" w:hAnsi="Times New Roman" w:cs="Times New Roman"/>
          <w:color w:val="333333"/>
        </w:rPr>
        <w:t>ct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Implementation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agreement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has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progressed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slowly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with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difficulty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Substantial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recent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progress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enabled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holding of a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long-delayed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international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donors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'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conference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March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12, 2002.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spite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recent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achievements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some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observers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continue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fear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prospect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a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new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uprising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ethnic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Albanian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extremists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armed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provocations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forces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supporting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hardliners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June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2001, NATO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formulated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approved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plans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launch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a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limited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operation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oversee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disarmament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</w:t>
      </w:r>
      <w:r w:rsidRPr="00172AC1">
        <w:rPr>
          <w:rFonts w:ascii="Times New Roman" w:eastAsia="Calibri" w:hAnsi="Times New Roman" w:cs="Times New Roman"/>
          <w:color w:val="333333"/>
        </w:rPr>
        <w:t>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ethnic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Albanian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rebel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forces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On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August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22, NATO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gave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final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approval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deployment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Operation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Essential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Harvest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comprising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about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4,500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troops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total.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operation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completed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collection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a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targeted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amount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of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rebel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weapons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(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nearly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4,000) on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Sep</w:t>
      </w:r>
      <w:r w:rsidRPr="00172AC1">
        <w:rPr>
          <w:rFonts w:ascii="Times New Roman" w:eastAsia="Calibri" w:hAnsi="Times New Roman" w:cs="Times New Roman"/>
          <w:color w:val="333333"/>
        </w:rPr>
        <w:t>tember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26, 2001. NATO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deployed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a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smaller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follow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-on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force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(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Task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Force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Fox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)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provide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security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international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civilian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monitors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NATO's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peacekeeping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force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Kosovo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(KFOR) has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also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been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involved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patrolling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and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reinforcing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Kosovo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border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ord</w:t>
      </w:r>
      <w:r w:rsidRPr="00172AC1">
        <w:rPr>
          <w:rFonts w:ascii="Times New Roman" w:eastAsia="Calibri" w:hAnsi="Times New Roman" w:cs="Times New Roman"/>
          <w:color w:val="333333"/>
        </w:rPr>
        <w:t>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try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cut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off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Albanian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rebel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supply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routes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United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States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maintains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some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KFOR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support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forces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, but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did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not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contribute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forces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either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Task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Force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Harvest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Task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Force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Fox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missions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.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In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early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2002,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European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Union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agreed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to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consider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taking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over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the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military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mission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in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Macedonia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</w:t>
      </w:r>
      <w:proofErr w:type="spellStart"/>
      <w:r w:rsidRPr="00172AC1">
        <w:rPr>
          <w:rFonts w:ascii="Times New Roman" w:eastAsia="Calibri" w:hAnsi="Times New Roman" w:cs="Times New Roman"/>
          <w:color w:val="333333"/>
        </w:rPr>
        <w:t>from</w:t>
      </w:r>
      <w:proofErr w:type="spellEnd"/>
      <w:r w:rsidRPr="00172AC1">
        <w:rPr>
          <w:rFonts w:ascii="Times New Roman" w:eastAsia="Calibri" w:hAnsi="Times New Roman" w:cs="Times New Roman"/>
          <w:color w:val="333333"/>
        </w:rPr>
        <w:t xml:space="preserve"> NATO.</w:t>
      </w:r>
    </w:p>
    <w:p w:rsidR="00EF49FE" w:rsidRPr="00172AC1" w:rsidRDefault="00EF49FE">
      <w:pPr>
        <w:rPr>
          <w:rFonts w:ascii="Times New Roman" w:eastAsia="Calibri" w:hAnsi="Times New Roman" w:cs="Times New Roman"/>
          <w:color w:val="333333"/>
        </w:rPr>
      </w:pPr>
    </w:p>
    <w:p w:rsidR="00EF49FE" w:rsidRPr="00172AC1" w:rsidRDefault="00172AC1">
      <w:pPr>
        <w:rPr>
          <w:rFonts w:ascii="Times New Roman" w:eastAsia="Calibri" w:hAnsi="Times New Roman" w:cs="Times New Roman"/>
        </w:rPr>
      </w:pPr>
      <w:proofErr w:type="spellStart"/>
      <w:proofErr w:type="gram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current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study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aims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provide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a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better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deeper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understanding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Calibri" w:hAnsi="Times New Roman" w:cs="Times New Roman"/>
        </w:rPr>
        <w:br/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relations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between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two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major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ethic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groups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living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in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Republic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North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Macedonia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before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follow</w:t>
      </w:r>
      <w:r w:rsidRPr="00172AC1">
        <w:rPr>
          <w:rFonts w:ascii="Times New Roman" w:eastAsia="PT Serif" w:hAnsi="Times New Roman" w:cs="Times New Roman"/>
          <w:color w:val="000000"/>
        </w:rPr>
        <w:t>ing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signing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implementation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Ohrid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Framework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Agreement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, an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agreement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which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is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generally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viewed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as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being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based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on a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consociational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approach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>.</w:t>
      </w:r>
      <w:proofErr w:type="gramEnd"/>
      <w:r w:rsidRPr="00172AC1">
        <w:rPr>
          <w:rFonts w:ascii="Times New Roman" w:eastAsia="Calibri" w:hAnsi="Times New Roman" w:cs="Times New Roman"/>
        </w:rPr>
        <w:br/>
      </w:r>
      <w:proofErr w:type="spellStart"/>
      <w:proofErr w:type="gram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purpose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this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research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is not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see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only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roots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nationalism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in North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Macedonia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how</w:t>
      </w:r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this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led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an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armed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conflict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in 2001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signing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Ohrid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Framework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agreement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but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also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lastRenderedPageBreak/>
        <w:t>examine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whether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implementation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a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consociation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agreement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such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as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Ohrid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Framework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Agreement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has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worked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in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practice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for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country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for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N</w:t>
      </w:r>
      <w:r w:rsidRPr="00172AC1">
        <w:rPr>
          <w:rFonts w:ascii="Times New Roman" w:eastAsia="PT Serif" w:hAnsi="Times New Roman" w:cs="Times New Roman"/>
          <w:color w:val="000000"/>
        </w:rPr>
        <w:t xml:space="preserve">orth </w:t>
      </w:r>
      <w:proofErr w:type="spellStart"/>
      <w:r w:rsidRPr="00172AC1">
        <w:rPr>
          <w:rFonts w:ascii="Times New Roman" w:eastAsia="Calibri" w:hAnsi="Times New Roman" w:cs="Times New Roman"/>
          <w:color w:val="000000"/>
        </w:rPr>
        <w:t>Μ</w:t>
      </w:r>
      <w:r w:rsidRPr="00172AC1">
        <w:rPr>
          <w:rFonts w:ascii="Times New Roman" w:eastAsia="PT Serif" w:hAnsi="Times New Roman" w:cs="Times New Roman"/>
          <w:color w:val="000000"/>
        </w:rPr>
        <w:t>acedonian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society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. </w:t>
      </w:r>
      <w:proofErr w:type="gramEnd"/>
      <w:r w:rsidRPr="00172AC1">
        <w:rPr>
          <w:rFonts w:ascii="Times New Roman" w:eastAsia="PT Serif" w:hAnsi="Times New Roman" w:cs="Times New Roman"/>
          <w:color w:val="000000"/>
        </w:rPr>
        <w:t xml:space="preserve">Do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have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creation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development</w:t>
      </w:r>
      <w:proofErr w:type="spellEnd"/>
      <w:r w:rsidRPr="00172AC1">
        <w:rPr>
          <w:rFonts w:ascii="Times New Roman" w:eastAsia="Calibri" w:hAnsi="Times New Roman" w:cs="Times New Roman"/>
        </w:rPr>
        <w:br/>
      </w:r>
      <w:r w:rsidRPr="00172AC1">
        <w:rPr>
          <w:rFonts w:ascii="Times New Roman" w:eastAsia="PT Serif" w:hAnsi="Times New Roman" w:cs="Times New Roman"/>
          <w:color w:val="000000"/>
        </w:rPr>
        <w:t xml:space="preserve">of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cross-cutting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(as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opposed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segmental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)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cleavages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as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Arend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Lijphart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suggests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on his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work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about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consociationalism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a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divided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country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>?</w:t>
      </w:r>
      <w:r w:rsidRPr="00172AC1">
        <w:rPr>
          <w:rFonts w:ascii="Times New Roman" w:eastAsia="Calibri" w:hAnsi="Times New Roman" w:cs="Times New Roman"/>
        </w:rPr>
        <w:br/>
      </w:r>
      <w:proofErr w:type="spellStart"/>
      <w:proofErr w:type="gramStart"/>
      <w:r w:rsidRPr="00172AC1">
        <w:rPr>
          <w:rFonts w:ascii="Times New Roman" w:eastAsia="PT Serif" w:hAnsi="Times New Roman" w:cs="Times New Roman"/>
          <w:color w:val="000000"/>
        </w:rPr>
        <w:t>Contrary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other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cases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in Europe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where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Theory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Consociationalism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was</w:t>
      </w:r>
      <w:proofErr w:type="spellEnd"/>
      <w:r w:rsidRPr="00172AC1">
        <w:rPr>
          <w:rFonts w:ascii="Times New Roman" w:eastAsia="Calibri" w:hAnsi="Times New Roman" w:cs="Times New Roman"/>
        </w:rPr>
        <w:br/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applied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, North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Macedonia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was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not an EU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member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like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Northern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Ireland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,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where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had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Good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Friday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Agreement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nor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did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international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community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appoint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a High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Representative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(as in</w:t>
      </w:r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case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Bosnia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)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oversee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civilian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implementation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Dayton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agreement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.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by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examining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case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North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Macedonia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can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understand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how a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consociational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approach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in a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country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like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North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Macedonia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can be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affected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by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lack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of a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multilateral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framework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between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key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outside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parties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in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original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conflict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whether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a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multilateral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framework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can be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considered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important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sustaining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functional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consociational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000000"/>
        </w:rPr>
        <w:t>agreements</w:t>
      </w:r>
      <w:proofErr w:type="spellEnd"/>
      <w:r w:rsidRPr="00172AC1">
        <w:rPr>
          <w:rFonts w:ascii="Times New Roman" w:eastAsia="PT Serif" w:hAnsi="Times New Roman" w:cs="Times New Roman"/>
          <w:color w:val="000000"/>
        </w:rPr>
        <w:t>.</w:t>
      </w:r>
      <w:proofErr w:type="gramEnd"/>
    </w:p>
    <w:p w:rsidR="00EF49FE" w:rsidRPr="00172AC1" w:rsidRDefault="00EF49FE">
      <w:pPr>
        <w:rPr>
          <w:rFonts w:ascii="Times New Roman" w:eastAsia="PT Serif" w:hAnsi="Times New Roman" w:cs="Times New Roman"/>
          <w:color w:val="000000"/>
        </w:rPr>
      </w:pPr>
    </w:p>
    <w:p w:rsidR="00EF49FE" w:rsidRPr="00172AC1" w:rsidRDefault="00172AC1">
      <w:pPr>
        <w:rPr>
          <w:rFonts w:ascii="Times New Roman" w:eastAsia="PT Serif" w:hAnsi="Times New Roman" w:cs="Times New Roman"/>
        </w:rPr>
      </w:pPr>
      <w:proofErr w:type="spellStart"/>
      <w:r w:rsidRPr="00172AC1">
        <w:rPr>
          <w:rFonts w:ascii="Times New Roman" w:eastAsia="PT Serif" w:hAnsi="Times New Roman" w:cs="Times New Roman"/>
          <w:color w:val="202122"/>
        </w:rPr>
        <w:t>In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2003,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Vaira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</w:t>
      </w:r>
      <w:r w:rsidRPr="00172AC1">
        <w:rPr>
          <w:rFonts w:ascii="Times New Roman" w:eastAsia="Arial" w:hAnsi="Times New Roman" w:cs="Times New Roman"/>
          <w:color w:val="202122"/>
        </w:rPr>
        <w:t>īķ</w:t>
      </w:r>
      <w:r w:rsidRPr="00172AC1">
        <w:rPr>
          <w:rFonts w:ascii="Times New Roman" w:eastAsia="PT Serif" w:hAnsi="Times New Roman" w:cs="Times New Roman"/>
          <w:color w:val="202122"/>
        </w:rPr>
        <w:t>e-Freiberga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was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re-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elected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presidency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for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sec</w:t>
      </w:r>
      <w:r w:rsidRPr="00172AC1">
        <w:rPr>
          <w:rFonts w:ascii="Times New Roman" w:eastAsia="PT Serif" w:hAnsi="Times New Roman" w:cs="Times New Roman"/>
          <w:color w:val="202122"/>
        </w:rPr>
        <w:t>ond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term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,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until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2007.  On 20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September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2003,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Latvia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voted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join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European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Union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in a </w:t>
      </w:r>
      <w:proofErr w:type="spellStart"/>
      <w:r w:rsidRPr="00172AC1">
        <w:rPr>
          <w:rFonts w:ascii="Times New Roman" w:eastAsia="PT Serif" w:hAnsi="Times New Roman" w:cs="Times New Roman"/>
        </w:rPr>
        <w:t>referendum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.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Virtually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all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major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political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parties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major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Latvian-language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media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supported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'YES'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vote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.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Latvian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government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also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spent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a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significant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amount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money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for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'YES'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campaign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.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'NO'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campaign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lacked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both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funding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and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media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access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.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Out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of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voters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who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participated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in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referendum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, </w:t>
      </w:r>
      <w:proofErr w:type="gramStart"/>
      <w:r w:rsidRPr="00172AC1">
        <w:rPr>
          <w:rFonts w:ascii="Times New Roman" w:eastAsia="PT Serif" w:hAnsi="Times New Roman" w:cs="Times New Roman"/>
          <w:color w:val="202122"/>
        </w:rPr>
        <w:t>66.9</w:t>
      </w:r>
      <w:proofErr w:type="gramEnd"/>
      <w:r w:rsidRPr="00172AC1">
        <w:rPr>
          <w:rFonts w:ascii="Times New Roman" w:eastAsia="PT Serif" w:hAnsi="Times New Roman" w:cs="Times New Roman"/>
          <w:color w:val="202122"/>
        </w:rPr>
        <w:t xml:space="preserve">% of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cast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votes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in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favour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of EU.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vote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was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largely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along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ethnic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lines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.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It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is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estimated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that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84% of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ethnic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Latvians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voted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'YES',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while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91% of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ethnic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Russians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voted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'NO</w:t>
      </w:r>
    </w:p>
    <w:p w:rsidR="00EF49FE" w:rsidRPr="00172AC1" w:rsidRDefault="00EF49FE">
      <w:pPr>
        <w:rPr>
          <w:rFonts w:ascii="Times New Roman" w:eastAsia="PT Serif" w:hAnsi="Times New Roman" w:cs="Times New Roman"/>
          <w:color w:val="202122"/>
        </w:rPr>
      </w:pPr>
    </w:p>
    <w:p w:rsidR="00EF49FE" w:rsidRPr="00172AC1" w:rsidRDefault="00172AC1">
      <w:pPr>
        <w:rPr>
          <w:rFonts w:ascii="Times New Roman" w:eastAsia="PT Serif" w:hAnsi="Times New Roman" w:cs="Times New Roman"/>
          <w:color w:val="202122"/>
        </w:rPr>
      </w:pPr>
      <w:r w:rsidRPr="00172AC1">
        <w:rPr>
          <w:rFonts w:ascii="Times New Roman" w:eastAsia="PT Serif" w:hAnsi="Times New Roman" w:cs="Times New Roman"/>
          <w:color w:val="202122"/>
        </w:rPr>
        <w:t xml:space="preserve">I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think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policy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that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should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be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followed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against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ethnic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competition</w:t>
      </w:r>
      <w:proofErr w:type="spellEnd"/>
    </w:p>
    <w:p w:rsidR="00EF49FE" w:rsidRPr="00172AC1" w:rsidRDefault="00172AC1">
      <w:pPr>
        <w:rPr>
          <w:rFonts w:ascii="Times New Roman" w:eastAsia="PT Serif" w:hAnsi="Times New Roman" w:cs="Times New Roman"/>
          <w:color w:val="202122"/>
        </w:rPr>
      </w:pPr>
      <w:proofErr w:type="spellStart"/>
      <w:r w:rsidRPr="00172AC1">
        <w:rPr>
          <w:rFonts w:ascii="Times New Roman" w:eastAsia="PT Serif" w:hAnsi="Times New Roman" w:cs="Times New Roman"/>
          <w:color w:val="202122"/>
        </w:rPr>
        <w:t>ending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wars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and</w:t>
      </w:r>
      <w:proofErr w:type="spellEnd"/>
    </w:p>
    <w:p w:rsidR="00EF49FE" w:rsidRPr="00172AC1" w:rsidRDefault="00172AC1">
      <w:pPr>
        <w:rPr>
          <w:rFonts w:ascii="Times New Roman" w:eastAsia="PT Serif" w:hAnsi="Times New Roman" w:cs="Times New Roman"/>
          <w:color w:val="202122"/>
        </w:rPr>
      </w:pPr>
      <w:proofErr w:type="spellStart"/>
      <w:r w:rsidRPr="00172AC1">
        <w:rPr>
          <w:rFonts w:ascii="Times New Roman" w:eastAsia="PT Serif" w:hAnsi="Times New Roman" w:cs="Times New Roman"/>
          <w:color w:val="202122"/>
        </w:rPr>
        <w:t>ethnic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rivalry</w:t>
      </w:r>
      <w:proofErr w:type="spellEnd"/>
    </w:p>
    <w:p w:rsidR="00EF49FE" w:rsidRPr="00172AC1" w:rsidRDefault="00172AC1">
      <w:pPr>
        <w:rPr>
          <w:rFonts w:ascii="Times New Roman" w:eastAsia="PT Serif" w:hAnsi="Times New Roman" w:cs="Times New Roman"/>
          <w:color w:val="202122"/>
        </w:rPr>
      </w:pPr>
      <w:proofErr w:type="spellStart"/>
      <w:r w:rsidRPr="00172AC1">
        <w:rPr>
          <w:rFonts w:ascii="Times New Roman" w:eastAsia="PT Serif" w:hAnsi="Times New Roman" w:cs="Times New Roman"/>
          <w:color w:val="202122"/>
        </w:rPr>
        <w:t>resources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that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make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up</w:t>
      </w:r>
      <w:proofErr w:type="spellEnd"/>
    </w:p>
    <w:p w:rsidR="00EF49FE" w:rsidRPr="00172AC1" w:rsidRDefault="00172AC1">
      <w:pPr>
        <w:rPr>
          <w:rFonts w:ascii="Times New Roman" w:eastAsia="PT Serif" w:hAnsi="Times New Roman" w:cs="Times New Roman"/>
          <w:color w:val="202122"/>
        </w:rPr>
      </w:pPr>
      <w:proofErr w:type="gramStart"/>
      <w:r w:rsidRPr="00172AC1">
        <w:rPr>
          <w:rFonts w:ascii="Times New Roman" w:eastAsia="PT Serif" w:hAnsi="Times New Roman" w:cs="Times New Roman"/>
          <w:color w:val="202122"/>
        </w:rPr>
        <w:t>is</w:t>
      </w:r>
      <w:proofErr w:type="gram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to</w:t>
      </w:r>
      <w:proofErr w:type="spellEnd"/>
      <w:r w:rsidRPr="00172AC1">
        <w:rPr>
          <w:rFonts w:ascii="Times New Roman" w:eastAsia="PT Serif" w:hAnsi="Times New Roman" w:cs="Times New Roman"/>
          <w:color w:val="202122"/>
        </w:rPr>
        <w:t xml:space="preserve"> </w:t>
      </w:r>
      <w:proofErr w:type="spellStart"/>
      <w:r w:rsidRPr="00172AC1">
        <w:rPr>
          <w:rFonts w:ascii="Times New Roman" w:eastAsia="PT Serif" w:hAnsi="Times New Roman" w:cs="Times New Roman"/>
          <w:color w:val="202122"/>
        </w:rPr>
        <w:t>close</w:t>
      </w:r>
      <w:bookmarkStart w:id="0" w:name="_GoBack"/>
      <w:bookmarkEnd w:id="0"/>
      <w:proofErr w:type="spellEnd"/>
    </w:p>
    <w:p w:rsidR="00EF49FE" w:rsidRDefault="00EF49FE">
      <w:pPr>
        <w:rPr>
          <w:rFonts w:ascii="PT Serif" w:eastAsia="PT Serif" w:hAnsi="PT Serif" w:cs="PT Serif"/>
          <w:color w:val="202122"/>
          <w:sz w:val="21"/>
        </w:rPr>
      </w:pPr>
    </w:p>
    <w:p w:rsidR="00EF49FE" w:rsidRDefault="00EF49FE">
      <w:pPr>
        <w:rPr>
          <w:rFonts w:ascii="PT Serif" w:eastAsia="PT Serif" w:hAnsi="PT Serif" w:cs="PT Serif"/>
          <w:color w:val="202122"/>
          <w:sz w:val="21"/>
        </w:rPr>
      </w:pPr>
    </w:p>
    <w:p w:rsidR="00EF49FE" w:rsidRDefault="00172AC1">
      <w:pPr>
        <w:rPr>
          <w:rFonts w:ascii="PT Serif" w:eastAsia="PT Serif" w:hAnsi="PT Serif" w:cs="PT Serif"/>
          <w:color w:val="202122"/>
          <w:sz w:val="21"/>
        </w:rPr>
      </w:pPr>
      <w:hyperlink r:id="rId8">
        <w:r>
          <w:rPr>
            <w:rFonts w:ascii="PT Serif" w:eastAsia="PT Serif" w:hAnsi="PT Serif" w:cs="PT Serif"/>
            <w:color w:val="0000FF"/>
            <w:sz w:val="21"/>
            <w:u w:val="single"/>
          </w:rPr>
          <w:t>https://eur-lex.europa.eu/legal-content/EN/ALL/?uri=LEGISSUM:e01104</w:t>
        </w:r>
      </w:hyperlink>
    </w:p>
    <w:p w:rsidR="00EF49FE" w:rsidRDefault="00172AC1">
      <w:pPr>
        <w:rPr>
          <w:rFonts w:ascii="PT Serif" w:eastAsia="PT Serif" w:hAnsi="PT Serif" w:cs="PT Serif"/>
          <w:color w:val="202122"/>
          <w:sz w:val="21"/>
        </w:rPr>
      </w:pPr>
      <w:hyperlink r:id="rId9">
        <w:r>
          <w:rPr>
            <w:rFonts w:ascii="PT Serif" w:eastAsia="PT Serif" w:hAnsi="PT Serif" w:cs="PT Serif"/>
            <w:color w:val="0000FF"/>
            <w:sz w:val="21"/>
            <w:u w:val="single"/>
          </w:rPr>
          <w:t>https://theses.gla.ac.uk/81603/</w:t>
        </w:r>
      </w:hyperlink>
    </w:p>
    <w:p w:rsidR="00EF49FE" w:rsidRDefault="00172AC1">
      <w:pPr>
        <w:rPr>
          <w:rFonts w:ascii="PT Serif" w:eastAsia="PT Serif" w:hAnsi="PT Serif" w:cs="PT Serif"/>
          <w:color w:val="202122"/>
          <w:sz w:val="21"/>
        </w:rPr>
      </w:pPr>
      <w:hyperlink r:id="rId10">
        <w:r>
          <w:rPr>
            <w:rFonts w:ascii="PT Serif" w:eastAsia="PT Serif" w:hAnsi="PT Serif" w:cs="PT Serif"/>
            <w:color w:val="0000FF"/>
            <w:sz w:val="21"/>
            <w:u w:val="single"/>
          </w:rPr>
          <w:t>https://en.wikipedia.org/wiki/Politics_of_Latvia</w:t>
        </w:r>
      </w:hyperlink>
    </w:p>
    <w:p w:rsidR="00EF49FE" w:rsidRDefault="00EF49FE">
      <w:pPr>
        <w:rPr>
          <w:rFonts w:ascii="PT Serif" w:eastAsia="PT Serif" w:hAnsi="PT Serif" w:cs="PT Serif"/>
          <w:color w:val="202122"/>
          <w:sz w:val="21"/>
        </w:rPr>
      </w:pPr>
    </w:p>
    <w:sectPr w:rsidR="00EF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49FE"/>
    <w:rsid w:val="00172AC1"/>
    <w:rsid w:val="00E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7D99D9F-E341-4AE5-B27E-0D037E10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ALL/?uri=LEGISSUM:e01104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en.wikipedia.org/wiki/Politics_of_Latv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heses.gla.ac.uk/81603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Lab22</cp:lastModifiedBy>
  <cp:revision>2</cp:revision>
  <dcterms:created xsi:type="dcterms:W3CDTF">2021-12-10T10:09:00Z</dcterms:created>
  <dcterms:modified xsi:type="dcterms:W3CDTF">2021-12-10T10:10:00Z</dcterms:modified>
</cp:coreProperties>
</file>