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FCF0A49" w:rsidP="1FCF0A49" w:rsidRDefault="1FCF0A49" w14:paraId="7B23CEA5" w14:textId="5E86D610">
      <w:pPr>
        <w:pStyle w:val="Normal"/>
      </w:pPr>
      <w:r>
        <w:drawing>
          <wp:inline wp14:editId="0203405B" wp14:anchorId="743E6145">
            <wp:extent cx="1506533" cy="1095375"/>
            <wp:effectExtent l="0" t="0" r="0" b="0"/>
            <wp:docPr id="3071162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9a93c0b23f4c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533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CF0A49" w:rsidP="1FCF0A49" w:rsidRDefault="1FCF0A49" w14:paraId="782AF08A" w14:textId="191556E8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</w:pPr>
      <w:proofErr w:type="spellStart"/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tr-TR"/>
        </w:rPr>
        <w:t>Delegation</w:t>
      </w:r>
      <w:proofErr w:type="spellEnd"/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tr-TR"/>
        </w:rPr>
        <w:t>from</w:t>
      </w:r>
      <w:proofErr w:type="spellEnd"/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tr-TR"/>
        </w:rPr>
        <w:t>:</w:t>
      </w:r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tr-TR"/>
        </w:rPr>
        <w:t>Norway</w:t>
      </w:r>
      <w:proofErr w:type="spellEnd"/>
    </w:p>
    <w:p w:rsidR="1FCF0A49" w:rsidP="1FCF0A49" w:rsidRDefault="1FCF0A49" w14:paraId="0B2B7FDB" w14:textId="236D10CC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</w:pPr>
      <w:proofErr w:type="spellStart"/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Committee</w:t>
      </w:r>
      <w:proofErr w:type="spellEnd"/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: </w:t>
      </w:r>
      <w:proofErr w:type="spellStart"/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Commission</w:t>
      </w:r>
      <w:proofErr w:type="spellEnd"/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on </w:t>
      </w:r>
      <w:proofErr w:type="spellStart"/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Status</w:t>
      </w:r>
      <w:proofErr w:type="spellEnd"/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proofErr w:type="spellStart"/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Women</w:t>
      </w:r>
      <w:proofErr w:type="spellEnd"/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(CSW)</w:t>
      </w:r>
    </w:p>
    <w:p w:rsidR="1FCF0A49" w:rsidP="1FCF0A49" w:rsidRDefault="1FCF0A49" w14:paraId="010F2200" w14:textId="1FFE876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FCF0A49" w:rsidR="1FCF0A4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</w:p>
    <w:p w:rsidR="1FCF0A49" w:rsidP="1FCF0A49" w:rsidRDefault="1FCF0A49" w14:paraId="531C8424" w14:textId="5755A13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</w:pPr>
      <w:proofErr w:type="spellStart"/>
      <w:r w:rsidRPr="1FCF0A49" w:rsidR="1FCF0A4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Recognition</w:t>
      </w:r>
      <w:proofErr w:type="spellEnd"/>
      <w:r w:rsidRPr="1FCF0A49" w:rsidR="1FCF0A4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1FCF0A49" w:rsidR="1FCF0A4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Visibilty</w:t>
      </w:r>
      <w:proofErr w:type="spellEnd"/>
      <w:r w:rsidRPr="1FCF0A49" w:rsidR="1FCF0A4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proofErr w:type="spellStart"/>
      <w:r w:rsidRPr="1FCF0A49" w:rsidR="1FCF0A4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Transgender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Women</w:t>
      </w:r>
      <w:proofErr w:type="spellEnd"/>
    </w:p>
    <w:p w:rsidR="1FCF0A49" w:rsidP="1FCF0A49" w:rsidRDefault="1FCF0A49" w14:paraId="76F7EF1A" w14:textId="1F7B245B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degree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recognition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provided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to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transgender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people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varies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widely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throughout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world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While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number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transgender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people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are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increasing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rapidly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in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last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years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transgender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equality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is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becoming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more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an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issue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In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year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2020, 350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transgender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people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were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executed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brutally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Not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only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transgender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people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but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whole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LGBTQ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community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is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getting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their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rights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disregarded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in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many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countries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</w:p>
    <w:p w:rsidR="1FCF0A49" w:rsidP="1FCF0A49" w:rsidRDefault="1FCF0A49" w14:paraId="1B60A572" w14:textId="26EA09E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</w:pP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Norway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is a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staunch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defender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human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rights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with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no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exception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for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transgender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people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On 18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March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2016,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Solberg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Government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introduced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a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bill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to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allow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legal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changes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without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any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form of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psychiatric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or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psychological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evaluation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,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diagnosis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or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any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kind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of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medical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intervention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.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We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believe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that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having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a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identity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or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expression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that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differs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from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sex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that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you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were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assigned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at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birth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,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should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not be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acknowledged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as an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illness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.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Therefore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Norway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has a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law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prohibiting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discrimination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based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on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identity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since 2013.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Moreover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, as of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December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2019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Storting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is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considering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a ban on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conversion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therapy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.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Norwegian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Psychiatric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Association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,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overwhelmingly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stated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that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a ‘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treatment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’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with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only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aim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of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changing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identity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must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be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regarded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as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ethical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malpractice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and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should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have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no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place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in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health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system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.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research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on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such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treatment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has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disproven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their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efficacy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,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and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also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has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indicated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that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they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are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affirmatively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harmful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.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Every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single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person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should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be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given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right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to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be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who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they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are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regardless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of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their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expression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. As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one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of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world’s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most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LGBTQ-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friendly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nations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,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Norway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is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deeply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concerned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about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all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hatecrimes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that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are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being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committed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against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transgender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community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and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has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devoted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attention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to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stop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all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possible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transphobic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acts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. </w:t>
      </w:r>
    </w:p>
    <w:p w:rsidR="1FCF0A49" w:rsidP="1FCF0A49" w:rsidRDefault="1FCF0A49" w14:paraId="16863E15" w14:textId="61076C7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</w:pPr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As a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result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of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being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a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equal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country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,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Norway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has a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high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societal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acceptance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of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transgender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woman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.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All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women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are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equal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without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any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needs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of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surgery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and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irrespective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of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their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biological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sex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. </w:t>
      </w:r>
    </w:p>
    <w:p w:rsidR="1FCF0A49" w:rsidP="1FCF0A49" w:rsidRDefault="1FCF0A49" w14:paraId="3C58B778" w14:textId="3E3D377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</w:pP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Minority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groups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such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as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transgender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women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commonly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lack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equal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rights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.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We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believe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it is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important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to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cooperate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with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other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countries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and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organisations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to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ensure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that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everyone’s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human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rights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are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respected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including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transgender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community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.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To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govern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with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such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an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issue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,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national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human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rights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organisations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should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be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urged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to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include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‘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transgender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equality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’ as a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theme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in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their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work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.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Countries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should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take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action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to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decrease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hatecrimes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against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transgender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people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to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insure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their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 </w:t>
      </w:r>
      <w:proofErr w:type="spellStart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>safety</w:t>
      </w:r>
      <w:proofErr w:type="spellEnd"/>
      <w:r w:rsidRPr="1FCF0A49" w:rsidR="1FCF0A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tr-TR"/>
        </w:rPr>
        <w:t xml:space="preserve">. </w:t>
      </w:r>
    </w:p>
    <w:p w:rsidR="1FCF0A49" w:rsidP="1FCF0A49" w:rsidRDefault="1FCF0A49" w14:paraId="321ED4C3" w14:textId="766D95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tr-TR"/>
        </w:rPr>
      </w:pPr>
    </w:p>
    <w:p w:rsidR="1FCF0A49" w:rsidP="1FCF0A49" w:rsidRDefault="1FCF0A49" w14:paraId="3C273A57" w14:textId="53C8A218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</w:p>
    <w:p w:rsidR="1FCF0A49" w:rsidP="1FCF0A49" w:rsidRDefault="1FCF0A49" w14:paraId="6C0CDE83" w14:textId="22A12B6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</w:p>
    <w:p w:rsidR="1FCF0A49" w:rsidP="1FCF0A49" w:rsidRDefault="1FCF0A49" w14:paraId="43FF10B1" w14:textId="720F6E38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</w:p>
    <w:p w:rsidR="1FCF0A49" w:rsidP="1FCF0A49" w:rsidRDefault="1FCF0A49" w14:paraId="221DF7D1" w14:textId="5E4A7E6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7683AE"/>
    <w:rsid w:val="1FCF0A49"/>
    <w:rsid w:val="44768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83AE"/>
  <w15:chartTrackingRefBased/>
  <w15:docId w15:val="{BCF003F2-DF26-47C3-B4DA-069F08374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c9a93c0b23f4c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2021-12-06T18:33:30.5689666Z</dcterms:created>
  <dcterms:modified xsi:type="dcterms:W3CDTF">2021-12-07T22:42:42.2920267Z</dcterms:modified>
  <dc:creator>Lena Yılmaz</dc:creator>
  <lastModifiedBy>Lena Yılmaz</lastModifiedBy>
</coreProperties>
</file>