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13DB" w14:textId="0508726E" w:rsidR="003F6285" w:rsidRPr="003F6285" w:rsidRDefault="003F6285" w:rsidP="003F6285">
      <w:pPr>
        <w:spacing w:after="160" w:line="259" w:lineRule="auto"/>
        <w:rPr>
          <w:rFonts w:ascii="Calibri" w:eastAsia="Calibri" w:hAnsi="Calibri" w:cs="Times New Roman"/>
          <w:sz w:val="32"/>
          <w:szCs w:val="32"/>
        </w:rPr>
      </w:pPr>
      <w:r w:rsidRPr="003F6285">
        <w:rPr>
          <w:rFonts w:ascii="Calibri" w:eastAsia="Calibri" w:hAnsi="Calibri" w:cs="Times New Roman"/>
          <w:noProof/>
          <w:sz w:val="32"/>
          <w:szCs w:val="32"/>
          <w:lang w:eastAsia="tr-TR"/>
        </w:rPr>
        <w:drawing>
          <wp:anchor distT="0" distB="0" distL="114300" distR="114300" simplePos="0" relativeHeight="251659264" behindDoc="1" locked="0" layoutInCell="1" allowOverlap="1" wp14:anchorId="4C09B409" wp14:editId="016EAD9F">
            <wp:simplePos x="0" y="0"/>
            <wp:positionH relativeFrom="column">
              <wp:posOffset>3861435</wp:posOffset>
            </wp:positionH>
            <wp:positionV relativeFrom="paragraph">
              <wp:posOffset>-72390</wp:posOffset>
            </wp:positionV>
            <wp:extent cx="1623317" cy="1315092"/>
            <wp:effectExtent l="0" t="0" r="0" b="0"/>
            <wp:wrapNone/>
            <wp:docPr id="14" name="12 Resim" descr="MUN-logo.jpg"/>
            <wp:cNvGraphicFramePr/>
            <a:graphic xmlns:a="http://schemas.openxmlformats.org/drawingml/2006/main">
              <a:graphicData uri="http://schemas.openxmlformats.org/drawingml/2006/picture">
                <pic:pic xmlns:pic="http://schemas.openxmlformats.org/drawingml/2006/picture">
                  <pic:nvPicPr>
                    <pic:cNvPr id="14" name="12 Resim" descr="MUN-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3317" cy="1315092"/>
                    </a:xfrm>
                    <a:prstGeom prst="rect">
                      <a:avLst/>
                    </a:prstGeom>
                  </pic:spPr>
                </pic:pic>
              </a:graphicData>
            </a:graphic>
            <wp14:sizeRelH relativeFrom="margin">
              <wp14:pctWidth>0</wp14:pctWidth>
            </wp14:sizeRelH>
            <wp14:sizeRelV relativeFrom="margin">
              <wp14:pctHeight>0</wp14:pctHeight>
            </wp14:sizeRelV>
          </wp:anchor>
        </w:drawing>
      </w:r>
      <w:r w:rsidRPr="003F6285">
        <w:rPr>
          <w:rFonts w:ascii="Calibri" w:eastAsia="Calibri" w:hAnsi="Calibri" w:cs="Times New Roman"/>
          <w:noProof/>
          <w:lang w:eastAsia="tr-TR"/>
        </w:rPr>
        <w:drawing>
          <wp:anchor distT="0" distB="0" distL="114300" distR="114300" simplePos="0" relativeHeight="251660288" behindDoc="0" locked="0" layoutInCell="1" allowOverlap="1" wp14:anchorId="51C67C09" wp14:editId="0B484AB3">
            <wp:simplePos x="0" y="0"/>
            <wp:positionH relativeFrom="margin">
              <wp:posOffset>-190500</wp:posOffset>
            </wp:positionH>
            <wp:positionV relativeFrom="paragraph">
              <wp:posOffset>0</wp:posOffset>
            </wp:positionV>
            <wp:extent cx="1818415" cy="1209675"/>
            <wp:effectExtent l="0" t="0" r="0" b="0"/>
            <wp:wrapThrough wrapText="bothSides">
              <wp:wrapPolygon edited="0">
                <wp:start x="0" y="0"/>
                <wp:lineTo x="0" y="21090"/>
                <wp:lineTo x="21276" y="21090"/>
                <wp:lineTo x="21276"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tayvan.png"/>
                    <pic:cNvPicPr/>
                  </pic:nvPicPr>
                  <pic:blipFill>
                    <a:blip r:embed="rId5">
                      <a:extLst>
                        <a:ext uri="{28A0092B-C50C-407E-A947-70E740481C1C}">
                          <a14:useLocalDpi xmlns:a14="http://schemas.microsoft.com/office/drawing/2010/main" val="0"/>
                        </a:ext>
                      </a:extLst>
                    </a:blip>
                    <a:stretch>
                      <a:fillRect/>
                    </a:stretch>
                  </pic:blipFill>
                  <pic:spPr>
                    <a:xfrm>
                      <a:off x="0" y="0"/>
                      <a:ext cx="1818415" cy="1209675"/>
                    </a:xfrm>
                    <a:prstGeom prst="rect">
                      <a:avLst/>
                    </a:prstGeom>
                  </pic:spPr>
                </pic:pic>
              </a:graphicData>
            </a:graphic>
            <wp14:sizeRelH relativeFrom="margin">
              <wp14:pctWidth>0</wp14:pctWidth>
            </wp14:sizeRelH>
            <wp14:sizeRelV relativeFrom="margin">
              <wp14:pctHeight>0</wp14:pctHeight>
            </wp14:sizeRelV>
          </wp:anchor>
        </w:drawing>
      </w:r>
      <w:r w:rsidRPr="003F6285">
        <w:rPr>
          <w:rFonts w:ascii="Calibri" w:eastAsia="Calibri" w:hAnsi="Calibri" w:cs="Times New Roman"/>
          <w:sz w:val="32"/>
          <w:szCs w:val="32"/>
        </w:rPr>
        <w:t xml:space="preserve">     </w:t>
      </w:r>
    </w:p>
    <w:p w14:paraId="5A096C55" w14:textId="77777777" w:rsidR="003F6285" w:rsidRPr="003F6285" w:rsidRDefault="003F6285" w:rsidP="003F6285">
      <w:pPr>
        <w:spacing w:after="160" w:line="259" w:lineRule="auto"/>
        <w:rPr>
          <w:rFonts w:ascii="Calibri" w:eastAsia="Calibri" w:hAnsi="Calibri" w:cs="Times New Roman"/>
          <w:sz w:val="32"/>
          <w:szCs w:val="32"/>
        </w:rPr>
      </w:pPr>
    </w:p>
    <w:p w14:paraId="368DE66D" w14:textId="77777777" w:rsidR="003F6285" w:rsidRPr="003F6285" w:rsidRDefault="003F6285" w:rsidP="003F6285">
      <w:pPr>
        <w:spacing w:after="160" w:line="259" w:lineRule="auto"/>
        <w:rPr>
          <w:rFonts w:ascii="Calibri" w:eastAsia="Calibri" w:hAnsi="Calibri" w:cs="Times New Roman"/>
          <w:sz w:val="32"/>
          <w:szCs w:val="32"/>
        </w:rPr>
      </w:pPr>
    </w:p>
    <w:p w14:paraId="7CCDAC80" w14:textId="77777777" w:rsidR="003F6285" w:rsidRPr="003F6285" w:rsidRDefault="003F6285" w:rsidP="003F6285">
      <w:pPr>
        <w:spacing w:after="160" w:line="259" w:lineRule="auto"/>
        <w:rPr>
          <w:rFonts w:ascii="Calibri" w:eastAsia="Calibri" w:hAnsi="Calibri" w:cs="Times New Roman"/>
          <w:sz w:val="32"/>
          <w:szCs w:val="32"/>
        </w:rPr>
      </w:pPr>
    </w:p>
    <w:p w14:paraId="795FA095" w14:textId="77777777" w:rsidR="003F6285" w:rsidRPr="003F6285" w:rsidRDefault="003F6285" w:rsidP="003F6285">
      <w:pPr>
        <w:spacing w:after="160" w:line="259" w:lineRule="auto"/>
        <w:rPr>
          <w:rFonts w:ascii="Times New Roman" w:eastAsia="Calibri" w:hAnsi="Times New Roman" w:cs="Times New Roman"/>
          <w:b/>
          <w:bCs/>
          <w:sz w:val="24"/>
          <w:szCs w:val="24"/>
        </w:rPr>
      </w:pPr>
      <w:r w:rsidRPr="003F6285">
        <w:rPr>
          <w:rFonts w:ascii="Times New Roman" w:eastAsia="Calibri" w:hAnsi="Times New Roman" w:cs="Times New Roman"/>
          <w:b/>
          <w:bCs/>
          <w:sz w:val="24"/>
          <w:szCs w:val="24"/>
        </w:rPr>
        <w:t xml:space="preserve">                              Fighting Against Social   Exclusion  and Child Poverty</w:t>
      </w:r>
    </w:p>
    <w:p w14:paraId="64A07E85" w14:textId="39B460CB" w:rsidR="003F6285" w:rsidRPr="003F6285" w:rsidRDefault="003F6285" w:rsidP="003F6285">
      <w:pPr>
        <w:tabs>
          <w:tab w:val="center" w:pos="4536"/>
          <w:tab w:val="left" w:pos="7815"/>
        </w:tabs>
        <w:spacing w:after="160"/>
        <w:rPr>
          <w:rFonts w:ascii="Times New Roman" w:eastAsia="Calibri" w:hAnsi="Times New Roman" w:cs="Times New Roman"/>
          <w:b/>
          <w:i/>
          <w:sz w:val="24"/>
          <w:szCs w:val="24"/>
        </w:rPr>
      </w:pPr>
      <w:r w:rsidRPr="003F6285">
        <w:rPr>
          <w:rFonts w:ascii="Times New Roman" w:eastAsia="Calibri" w:hAnsi="Times New Roman" w:cs="Times New Roman"/>
          <w:b/>
          <w:color w:val="000000"/>
          <w:sz w:val="24"/>
          <w:szCs w:val="24"/>
        </w:rPr>
        <w:t>Committee:</w:t>
      </w:r>
      <w:r>
        <w:rPr>
          <w:rFonts w:ascii="Times New Roman" w:eastAsia="Calibri" w:hAnsi="Times New Roman" w:cs="Times New Roman"/>
          <w:b/>
          <w:color w:val="000000"/>
          <w:sz w:val="24"/>
          <w:szCs w:val="24"/>
        </w:rPr>
        <w:t xml:space="preserve"> </w:t>
      </w:r>
      <w:r w:rsidRPr="003F6285">
        <w:rPr>
          <w:rFonts w:ascii="Times New Roman" w:eastAsia="Calibri" w:hAnsi="Times New Roman" w:cs="Times New Roman"/>
          <w:color w:val="000000"/>
          <w:sz w:val="24"/>
          <w:szCs w:val="24"/>
        </w:rPr>
        <w:t xml:space="preserve">UNICEF </w:t>
      </w:r>
      <w:r>
        <w:rPr>
          <w:rFonts w:ascii="Times New Roman" w:eastAsia="Calibri" w:hAnsi="Times New Roman" w:cs="Times New Roman"/>
          <w:color w:val="000000"/>
          <w:sz w:val="24"/>
          <w:szCs w:val="24"/>
        </w:rPr>
        <w:t>2</w:t>
      </w:r>
    </w:p>
    <w:p w14:paraId="7C22A109" w14:textId="6C4BF9A0" w:rsidR="003F6285" w:rsidRPr="003F6285" w:rsidRDefault="003F6285" w:rsidP="003F6285">
      <w:pPr>
        <w:tabs>
          <w:tab w:val="center" w:pos="4536"/>
          <w:tab w:val="left" w:pos="7815"/>
        </w:tabs>
        <w:spacing w:after="160"/>
        <w:rPr>
          <w:rFonts w:ascii="Times New Roman" w:eastAsia="Calibri" w:hAnsi="Times New Roman" w:cs="Times New Roman"/>
          <w:b/>
          <w:i/>
          <w:sz w:val="24"/>
          <w:szCs w:val="24"/>
        </w:rPr>
      </w:pPr>
      <w:r w:rsidRPr="003F6285">
        <w:rPr>
          <w:rFonts w:ascii="Times New Roman" w:eastAsia="Calibri" w:hAnsi="Times New Roman" w:cs="Times New Roman"/>
          <w:b/>
          <w:color w:val="000000"/>
          <w:sz w:val="24"/>
          <w:szCs w:val="24"/>
        </w:rPr>
        <w:t>Country:</w:t>
      </w:r>
      <w:r>
        <w:rPr>
          <w:rFonts w:ascii="Times New Roman" w:eastAsia="Calibri" w:hAnsi="Times New Roman" w:cs="Times New Roman"/>
          <w:b/>
          <w:color w:val="000000"/>
          <w:sz w:val="24"/>
          <w:szCs w:val="24"/>
        </w:rPr>
        <w:t xml:space="preserve"> </w:t>
      </w:r>
      <w:r w:rsidRPr="003F6285">
        <w:rPr>
          <w:rFonts w:ascii="Times New Roman" w:eastAsia="Calibri" w:hAnsi="Times New Roman" w:cs="Times New Roman"/>
          <w:color w:val="000000"/>
          <w:sz w:val="24"/>
          <w:szCs w:val="24"/>
        </w:rPr>
        <w:t>Taiwan</w:t>
      </w:r>
    </w:p>
    <w:p w14:paraId="5788C59D" w14:textId="5BE19BD1" w:rsidR="003F6285" w:rsidRPr="003F6285" w:rsidRDefault="003F6285" w:rsidP="003F6285">
      <w:pPr>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Delegate</w:t>
      </w:r>
      <w:r w:rsidRPr="003F6285">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rPr>
        <w:t>Rüya Önder</w:t>
      </w:r>
    </w:p>
    <w:p w14:paraId="3511EEE1" w14:textId="77777777" w:rsidR="003F6285" w:rsidRPr="003F6285" w:rsidRDefault="003F6285" w:rsidP="003F6285">
      <w:pPr>
        <w:rPr>
          <w:rFonts w:ascii="Times New Roman" w:eastAsia="Calibri" w:hAnsi="Times New Roman" w:cs="Times New Roman"/>
          <w:color w:val="000000"/>
          <w:sz w:val="24"/>
          <w:szCs w:val="24"/>
        </w:rPr>
      </w:pPr>
    </w:p>
    <w:p w14:paraId="0C05F539" w14:textId="77777777" w:rsidR="003F6285" w:rsidRPr="003F6285" w:rsidRDefault="003F6285" w:rsidP="003F6285">
      <w:pPr>
        <w:jc w:val="both"/>
        <w:rPr>
          <w:rFonts w:ascii="Times New Roman" w:eastAsia="Calibri" w:hAnsi="Times New Roman" w:cs="Times New Roman"/>
          <w:color w:val="000000"/>
          <w:sz w:val="24"/>
          <w:szCs w:val="24"/>
          <w:shd w:val="clear" w:color="auto" w:fill="FFFFFF"/>
        </w:rPr>
      </w:pPr>
      <w:r w:rsidRPr="003F6285">
        <w:rPr>
          <w:rFonts w:ascii="Times New Roman" w:eastAsia="Calibri" w:hAnsi="Times New Roman" w:cs="Times New Roman"/>
          <w:bCs/>
          <w:color w:val="000000"/>
          <w:sz w:val="24"/>
          <w:szCs w:val="24"/>
          <w:shd w:val="clear" w:color="auto" w:fill="FFFFFF"/>
        </w:rPr>
        <w:t>Taiwan</w:t>
      </w:r>
      <w:r w:rsidRPr="003F6285">
        <w:rPr>
          <w:rFonts w:ascii="Times New Roman" w:eastAsia="Calibri" w:hAnsi="Times New Roman" w:cs="Times New Roman"/>
          <w:color w:val="000000"/>
          <w:sz w:val="24"/>
          <w:szCs w:val="24"/>
          <w:shd w:val="clear" w:color="auto" w:fill="FFFFFF"/>
        </w:rPr>
        <w:t> is a country in </w:t>
      </w:r>
      <w:r w:rsidRPr="003F6285">
        <w:rPr>
          <w:rFonts w:ascii="Times New Roman" w:eastAsia="Calibri" w:hAnsi="Times New Roman" w:cs="Times New Roman"/>
          <w:color w:val="000000"/>
          <w:sz w:val="24"/>
          <w:szCs w:val="24"/>
        </w:rPr>
        <w:t>East Asia. With the overthrow of the King Dynasty in 1911 following the Boxer Revolt, the Nationalist Party was founded with the work of Kuomintang leader Sun Yat-sen.</w:t>
      </w:r>
      <w:r w:rsidRPr="003F6285">
        <w:rPr>
          <w:rFonts w:ascii="Times New Roman" w:eastAsia="Calibri" w:hAnsi="Times New Roman" w:cs="Times New Roman"/>
          <w:color w:val="000000"/>
          <w:sz w:val="24"/>
          <w:szCs w:val="24"/>
          <w:shd w:val="clear" w:color="auto" w:fill="FFFFFF"/>
        </w:rPr>
        <w:t>It shares </w:t>
      </w:r>
      <w:r w:rsidRPr="003F6285">
        <w:rPr>
          <w:rFonts w:ascii="Times New Roman" w:eastAsia="Calibri" w:hAnsi="Times New Roman" w:cs="Times New Roman"/>
          <w:color w:val="000000"/>
          <w:sz w:val="24"/>
          <w:szCs w:val="24"/>
        </w:rPr>
        <w:t>Maritime Borders</w:t>
      </w:r>
      <w:r w:rsidRPr="003F6285">
        <w:rPr>
          <w:rFonts w:ascii="Times New Roman" w:eastAsia="Calibri" w:hAnsi="Times New Roman" w:cs="Times New Roman"/>
          <w:color w:val="000000"/>
          <w:sz w:val="24"/>
          <w:szCs w:val="24"/>
          <w:shd w:val="clear" w:color="auto" w:fill="FFFFFF"/>
        </w:rPr>
        <w:t> with the </w:t>
      </w:r>
      <w:r w:rsidRPr="003F6285">
        <w:rPr>
          <w:rFonts w:ascii="Times New Roman" w:eastAsia="Calibri" w:hAnsi="Times New Roman" w:cs="Times New Roman"/>
          <w:color w:val="000000"/>
          <w:sz w:val="24"/>
          <w:szCs w:val="24"/>
        </w:rPr>
        <w:t>People’s Republic of China</w:t>
      </w:r>
      <w:r w:rsidRPr="003F6285">
        <w:rPr>
          <w:rFonts w:ascii="Times New Roman" w:eastAsia="Calibri" w:hAnsi="Times New Roman" w:cs="Times New Roman"/>
          <w:color w:val="000000"/>
          <w:sz w:val="24"/>
          <w:szCs w:val="24"/>
          <w:shd w:val="clear" w:color="auto" w:fill="FFFFFF"/>
        </w:rPr>
        <w:t xml:space="preserve">(PRC) to the northwest </w:t>
      </w:r>
      <w:r w:rsidRPr="003F6285">
        <w:rPr>
          <w:rFonts w:ascii="Times New Roman" w:eastAsia="Calibri" w:hAnsi="Times New Roman" w:cs="Times New Roman"/>
          <w:color w:val="000000"/>
          <w:sz w:val="24"/>
          <w:szCs w:val="24"/>
        </w:rPr>
        <w:t>Japan</w:t>
      </w:r>
      <w:r w:rsidRPr="003F6285">
        <w:rPr>
          <w:rFonts w:ascii="Times New Roman" w:eastAsia="Calibri" w:hAnsi="Times New Roman" w:cs="Times New Roman"/>
          <w:color w:val="000000"/>
          <w:sz w:val="24"/>
          <w:szCs w:val="24"/>
          <w:shd w:val="clear" w:color="auto" w:fill="FFFFFF"/>
        </w:rPr>
        <w:t> to the northeast, and the </w:t>
      </w:r>
      <w:r w:rsidRPr="003F6285">
        <w:rPr>
          <w:rFonts w:ascii="Times New Roman" w:eastAsia="Calibri" w:hAnsi="Times New Roman" w:cs="Times New Roman"/>
          <w:color w:val="000000"/>
          <w:sz w:val="24"/>
          <w:szCs w:val="24"/>
        </w:rPr>
        <w:t>Philippines</w:t>
      </w:r>
      <w:r w:rsidRPr="003F6285">
        <w:rPr>
          <w:rFonts w:ascii="Times New Roman" w:eastAsia="Calibri" w:hAnsi="Times New Roman" w:cs="Times New Roman"/>
          <w:color w:val="000000"/>
          <w:sz w:val="24"/>
          <w:szCs w:val="24"/>
          <w:shd w:val="clear" w:color="auto" w:fill="FFFFFF"/>
        </w:rPr>
        <w:t> to the south.The capital city of  Taiwan is Taipei. 23.45 million inhabitants, Taiwan is among the most densely populated countries in the world.</w:t>
      </w:r>
    </w:p>
    <w:p w14:paraId="5B9D4A1F" w14:textId="77777777" w:rsidR="003F6285" w:rsidRPr="003F6285" w:rsidRDefault="003F6285" w:rsidP="003F6285">
      <w:pPr>
        <w:jc w:val="both"/>
        <w:rPr>
          <w:rFonts w:ascii="Times New Roman" w:eastAsia="Calibri" w:hAnsi="Times New Roman" w:cs="Times New Roman"/>
          <w:color w:val="000000"/>
          <w:sz w:val="24"/>
          <w:szCs w:val="24"/>
          <w:shd w:val="clear" w:color="auto" w:fill="FFFFFF"/>
        </w:rPr>
      </w:pPr>
    </w:p>
    <w:p w14:paraId="3C316CDD" w14:textId="77777777" w:rsidR="003F6285" w:rsidRPr="003F6285" w:rsidRDefault="003F6285" w:rsidP="003F6285">
      <w:pPr>
        <w:jc w:val="both"/>
        <w:rPr>
          <w:rFonts w:ascii="Times New Roman" w:eastAsia="Calibri" w:hAnsi="Times New Roman" w:cs="Times New Roman"/>
          <w:color w:val="202122"/>
          <w:sz w:val="24"/>
          <w:szCs w:val="24"/>
          <w:shd w:val="clear" w:color="auto" w:fill="FFFFFF"/>
        </w:rPr>
      </w:pPr>
      <w:r w:rsidRPr="003F6285">
        <w:rPr>
          <w:rFonts w:ascii="Times New Roman" w:eastAsia="Calibri" w:hAnsi="Times New Roman" w:cs="Times New Roman"/>
          <w:color w:val="000000"/>
          <w:sz w:val="24"/>
          <w:szCs w:val="24"/>
        </w:rPr>
        <w:t xml:space="preserve"> </w:t>
      </w:r>
      <w:r w:rsidRPr="003F6285">
        <w:rPr>
          <w:rFonts w:ascii="Times New Roman" w:eastAsia="Calibri" w:hAnsi="Times New Roman" w:cs="Times New Roman"/>
          <w:color w:val="000000"/>
          <w:sz w:val="24"/>
          <w:szCs w:val="24"/>
          <w:shd w:val="clear" w:color="auto" w:fill="FFFFFF"/>
        </w:rPr>
        <w:t>Although it is a poor country, it is very developed in education.</w:t>
      </w:r>
      <w:r w:rsidRPr="003F6285">
        <w:rPr>
          <w:rFonts w:ascii="Times New Roman" w:eastAsia="Calibri" w:hAnsi="Times New Roman" w:cs="Times New Roman"/>
          <w:color w:val="202122"/>
          <w:sz w:val="24"/>
          <w:szCs w:val="24"/>
          <w:shd w:val="clear" w:color="auto" w:fill="FFFFFF"/>
        </w:rPr>
        <w:t xml:space="preserve"> Taiwan's higher education system was established by Japan during the colonial period. However, after the Republic of China took over in 1945, the system was promptly replaced by the same system as in mainland China which mixed features of the Chinese and American educational systems. Taiwan is well known for adhering to the Confucian paradigm of valuing education as a means to improve one's socioeconomic position in society. The Taiwanese education system has been praised for various reasons, including its comparatively high test results and its major role in promoting Taiwan's economic development while creating one of the world's most highly educated work forces.</w:t>
      </w:r>
    </w:p>
    <w:p w14:paraId="4F2A3FD0" w14:textId="77777777" w:rsidR="003F6285" w:rsidRPr="003F6285" w:rsidRDefault="003F6285" w:rsidP="003F6285">
      <w:pPr>
        <w:jc w:val="both"/>
        <w:rPr>
          <w:rFonts w:ascii="Times New Roman" w:eastAsia="Calibri" w:hAnsi="Times New Roman" w:cs="Times New Roman"/>
          <w:color w:val="202122"/>
          <w:sz w:val="24"/>
          <w:szCs w:val="24"/>
          <w:shd w:val="clear" w:color="auto" w:fill="FFFFFF"/>
        </w:rPr>
      </w:pPr>
    </w:p>
    <w:p w14:paraId="22DEED20" w14:textId="77777777" w:rsidR="003F6285" w:rsidRPr="003F6285" w:rsidRDefault="003F6285" w:rsidP="003F6285">
      <w:pPr>
        <w:jc w:val="both"/>
        <w:rPr>
          <w:rFonts w:ascii="Times New Roman" w:eastAsia="Calibri" w:hAnsi="Times New Roman" w:cs="Times New Roman"/>
          <w:sz w:val="24"/>
          <w:szCs w:val="24"/>
        </w:rPr>
      </w:pPr>
      <w:r w:rsidRPr="003F6285">
        <w:rPr>
          <w:rFonts w:ascii="Times New Roman" w:eastAsia="Calibri" w:hAnsi="Times New Roman" w:cs="Times New Roman"/>
          <w:sz w:val="24"/>
          <w:szCs w:val="24"/>
        </w:rPr>
        <w:t>Using data from the TYP (Taiwan Youth Project) panel survey, we examine factors associated with early marriages in Taiwan and the subsequent risks for negative outcomes in family life and career trajectories. About 7% of Taiwanese people marry early, that is, before the age of 28 years. Among those who marry early, more than 60% report the birth of a child within the first 8 months of marriage (i.e., they form postconception “shotgun” marriages). Compared with the never married respondents, individuals in both preconception and postconception early marriages are likely to come from families of low socioeconomic status. Nonworking young adults and those experiencing parental divorce or parental death during adolescence are at higher risk of entering postconception marriages than those remaining single. Particularly for nonemployed young people and those from lower socioeconomic status. background, early marriage means taking on adult responsibilities in a disadvantaged state.</w:t>
      </w:r>
    </w:p>
    <w:p w14:paraId="5D3BA0F1" w14:textId="77777777" w:rsidR="003F6285" w:rsidRPr="003F6285" w:rsidRDefault="003F6285" w:rsidP="003F6285">
      <w:pPr>
        <w:jc w:val="both"/>
        <w:rPr>
          <w:rFonts w:ascii="Times New Roman" w:eastAsia="Calibri" w:hAnsi="Times New Roman" w:cs="Times New Roman"/>
          <w:sz w:val="24"/>
          <w:szCs w:val="24"/>
        </w:rPr>
      </w:pPr>
    </w:p>
    <w:p w14:paraId="539A1FDB" w14:textId="77777777" w:rsidR="003F6285" w:rsidRPr="003F6285" w:rsidRDefault="003F6285" w:rsidP="003F6285">
      <w:pPr>
        <w:jc w:val="both"/>
        <w:rPr>
          <w:rFonts w:ascii="Times New Roman" w:eastAsia="Calibri" w:hAnsi="Times New Roman" w:cs="Times New Roman"/>
          <w:sz w:val="24"/>
          <w:szCs w:val="24"/>
        </w:rPr>
      </w:pPr>
    </w:p>
    <w:p w14:paraId="5AC4FA63" w14:textId="77777777" w:rsidR="003F6285" w:rsidRPr="003F6285" w:rsidRDefault="003F6285" w:rsidP="003F6285">
      <w:pPr>
        <w:jc w:val="both"/>
        <w:rPr>
          <w:rFonts w:ascii="Times New Roman" w:eastAsia="Calibri" w:hAnsi="Times New Roman" w:cs="Times New Roman"/>
          <w:sz w:val="24"/>
          <w:szCs w:val="24"/>
        </w:rPr>
      </w:pPr>
      <w:r w:rsidRPr="003F6285">
        <w:rPr>
          <w:rFonts w:ascii="Times New Roman" w:eastAsia="Calibri" w:hAnsi="Times New Roman" w:cs="Times New Roman"/>
          <w:sz w:val="24"/>
          <w:szCs w:val="24"/>
        </w:rPr>
        <w:t>To solve this problem we should put a rule that like who marry with that aged girl takes a punishment. And we have to educate girls and public.</w:t>
      </w:r>
    </w:p>
    <w:p w14:paraId="4DEA0F31" w14:textId="77777777" w:rsidR="00E17B50" w:rsidRDefault="00E17B50"/>
    <w:sectPr w:rsidR="00E17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85"/>
    <w:rsid w:val="003F6285"/>
    <w:rsid w:val="00E17B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CEB9"/>
  <w15:chartTrackingRefBased/>
  <w15:docId w15:val="{7057009A-EE8F-49A2-B9E0-BC24A9F2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çataklı</dc:creator>
  <cp:keywords/>
  <dc:description/>
  <cp:lastModifiedBy>filiz çataklı</cp:lastModifiedBy>
  <cp:revision>1</cp:revision>
  <dcterms:created xsi:type="dcterms:W3CDTF">2021-12-21T20:04:00Z</dcterms:created>
  <dcterms:modified xsi:type="dcterms:W3CDTF">2021-12-21T20:08:00Z</dcterms:modified>
</cp:coreProperties>
</file>