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Submitter: Hans Friedrich von Ploetz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Title: Diplomat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Country:Germany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Statement of National Goals for the National Press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As the Cold War concluded, the history of the security architecture of Europe started to transform, plus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decrease of the Soviet threat raised questions about NATO’s role. The reunification of Germany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also caused concerns about the continent’s security. In this uncertain environment , the sustainability of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NATO’s stabilizing role and its adaptation to changing threats are so important.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Federal Republic of Germany has reaffirmed its commitment to NATO and the principle of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collective defence in this period of time when Europe’s security architecture was undergoing radical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changes. Germany continued the reunification process in close consultation with its allies, particularly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US, the UK, and France, and made it clear that a united Germany would remain within the NATO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framework.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 this process, Germany supported steps through the limitation of military power and increasing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transparency. As part of confidence building measures it has been emphasized that the role of the armed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forces will be limited to defence. At the same time, by keeping channels of dialogue open with the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Ussr, Germany provided assurance that the unification would not pursue any revisionist or power-based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policies. This responsible and careful posture of Germany clearly shows that the reunification of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Germany will not lead to instability in Europe but to a new security order based on cooperation and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mutual trust.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The Federal Republic of Germany expects NATO to adapt to the changing security environment in this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new era and provide a framework that preserves stability. Germany believes it is important for its allies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to develop a common understanding that positioning a reunited Germany within NATO is a guarantee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for European security.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Also, keeping dialogue channels open with the Ussr and Eastern European countries is crucial to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prevent new divisions and security vacuums. Germany believes that collective decision-making, trust,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and a NATO vision shaped around multilateral cooperation will contribute to lasting peace in Europe.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Hans Friedrich von Ploetz,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German Diplomat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