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4"/>
          <w:szCs w:val="24"/>
        </w:rPr>
      </w:pPr>
      <w:r w:rsidDel="00000000" w:rsidR="00000000" w:rsidRPr="00000000">
        <w:rPr>
          <w:b w:val="1"/>
          <w:bCs w:val="1"/>
          <w:sz w:val="24"/>
          <w:szCs w:val="24"/>
          <w:rtl w:val="0"/>
        </w:rPr>
        <w:t xml:space="preserve">Committee: </w:t>
      </w:r>
      <w:r w:rsidDel="00000000" w:rsidR="00000000" w:rsidRPr="00000000">
        <w:rPr>
          <w:sz w:val="24"/>
          <w:szCs w:val="24"/>
          <w:rtl w:val="0"/>
        </w:rPr>
        <w:t xml:space="preserve">The Special Political and Decolonization Committee</w:t>
      </w:r>
      <w:r w:rsidDel="00000000" w:rsidR="00000000" w:rsidRPr="00000000">
        <w:rPr>
          <w:b w:val="1"/>
          <w:bCs w:val="1"/>
          <w:sz w:val="24"/>
          <w:szCs w:val="24"/>
          <w:rtl w:val="0"/>
        </w:rPr>
        <w:br w:type="textWrapping"/>
        <w:t xml:space="preserve">Delegate: </w:t>
      </w:r>
      <w:r w:rsidDel="00000000" w:rsidR="00000000" w:rsidRPr="00000000">
        <w:rPr>
          <w:sz w:val="24"/>
          <w:szCs w:val="24"/>
          <w:rtl w:val="0"/>
        </w:rPr>
        <w:t xml:space="preserve">Kumsal Çakır, Gazi Anatolian High School</w:t>
      </w:r>
    </w:p>
    <w:p w:rsidR="00000000" w:rsidDel="00000000" w:rsidP="00000000" w:rsidRDefault="00000000" w:rsidRPr="00000000" w14:paraId="00000002">
      <w:pPr>
        <w:jc w:val="both"/>
        <w:rPr>
          <w:sz w:val="24"/>
          <w:szCs w:val="24"/>
        </w:rPr>
      </w:pPr>
      <w:r w:rsidDel="00000000" w:rsidR="00000000" w:rsidRPr="00000000">
        <w:rPr>
          <w:b w:val="1"/>
          <w:bCs w:val="1"/>
          <w:sz w:val="24"/>
          <w:szCs w:val="24"/>
          <w:rtl w:val="0"/>
        </w:rPr>
        <w:t xml:space="preserve">Country: </w:t>
      </w:r>
      <w:r w:rsidDel="00000000" w:rsidR="00000000" w:rsidRPr="00000000">
        <w:rPr>
          <w:sz w:val="24"/>
          <w:szCs w:val="24"/>
          <w:rtl w:val="0"/>
        </w:rPr>
        <w:t xml:space="preserve">Barbados</w:t>
      </w:r>
    </w:p>
    <w:p w:rsidR="00000000" w:rsidDel="00000000" w:rsidP="00000000" w:rsidRDefault="00000000" w:rsidRPr="00000000" w14:paraId="00000003">
      <w:pPr>
        <w:jc w:val="both"/>
        <w:rPr>
          <w:sz w:val="24"/>
          <w:szCs w:val="24"/>
        </w:rPr>
      </w:pPr>
      <w:r w:rsidDel="00000000" w:rsidR="00000000" w:rsidRPr="00000000">
        <w:rPr>
          <w:b w:val="1"/>
          <w:bCs w:val="1"/>
          <w:sz w:val="24"/>
          <w:szCs w:val="24"/>
          <w:rtl w:val="0"/>
        </w:rPr>
        <w:t xml:space="preserve">Topic: </w:t>
      </w:r>
      <w:r w:rsidDel="00000000" w:rsidR="00000000" w:rsidRPr="00000000">
        <w:rPr>
          <w:sz w:val="24"/>
          <w:szCs w:val="24"/>
          <w:rtl w:val="0"/>
        </w:rPr>
        <w:t xml:space="preserve">Reassessing the Political Status of Disputed and Non-Self-Governing Territories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With the decolonization process that started in 1945, many colonies managed to successfully become independent countries. While there is major progress when it comes to decolonization, there are still the disputed and Non-Self-Governing Territories (NSGTs) to take into account. As a former British colony, the delegation of Barbados recognizes that decolonization is quite important but also difficult to achieve considering the historical claims of nations, exclusive economic zones and military bases.</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Barbados believes that the NSGTs and disputed territories should all work towards self-governing while the other nations work in harmony in order to solve the ongoing conflicts between countries that are trying to assert sovereignty in a way that can violate the right of self-determination and can put pressure on the claimed territories. As a member of  the Latin American and Caribbean Group (GRULAC), we firmly support decolonization and are willing to back up other member states and hold conferences in order to discuss the further issues and solutions.</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The Delegation of Barbados suggests that as nations, we should make sure that the right of self-determination doesn’t get violated in any way during these territorial disputes, and that we come up with fair solutions that allow the colonized territories to have their perspectives on display as well with the necessary backup. We hope that our efforts worldwide will result in a more peaceful atmosphere in the world.</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