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object w:dxaOrig="3435" w:dyaOrig="1964">
          <v:rect xmlns:o="urn:schemas-microsoft-com:office:office" xmlns:v="urn:schemas-microsoft-com:vml" id="rectole0000000000" style="width:171.750000pt;height:9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mbria" w:hAnsi="Cambria" w:cs="Cambria" w:eastAsia="Cambria"/>
          <w:color w:val="auto"/>
          <w:spacing w:val="0"/>
          <w:position w:val="0"/>
          <w:sz w:val="22"/>
          <w:shd w:fill="auto" w:val="clear"/>
        </w:rPr>
      </w:pPr>
      <w:r>
        <w:object w:dxaOrig="3555" w:dyaOrig="3314">
          <v:rect xmlns:o="urn:schemas-microsoft-com:office:office" xmlns:v="urn:schemas-microsoft-com:vml" id="rectole0000000001" style="width:177.750000pt;height:165.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Committee: </w:t>
      </w:r>
      <w:r>
        <w:rPr>
          <w:rFonts w:ascii="Times New Roman" w:hAnsi="Times New Roman" w:cs="Times New Roman" w:eastAsia="Times New Roman"/>
          <w:color w:val="auto"/>
          <w:spacing w:val="0"/>
          <w:position w:val="0"/>
          <w:sz w:val="24"/>
          <w:shd w:fill="auto" w:val="clear"/>
        </w:rPr>
        <w:t xml:space="preserve">FAO(Food and Agriculture Organization of the United Nations)</w:t>
        <w:br/>
        <w:br/>
      </w:r>
      <w:r>
        <w:rPr>
          <w:rFonts w:ascii="Times New Roman" w:hAnsi="Times New Roman" w:cs="Times New Roman" w:eastAsia="Times New Roman"/>
          <w:color w:val="auto"/>
          <w:spacing w:val="0"/>
          <w:position w:val="0"/>
          <w:sz w:val="24"/>
          <w:shd w:fill="auto" w:val="clear"/>
        </w:rPr>
        <w:t xml:space="preserve">Country: </w:t>
      </w:r>
      <w:r>
        <w:rPr>
          <w:rFonts w:ascii="Times New Roman" w:hAnsi="Times New Roman" w:cs="Times New Roman" w:eastAsia="Times New Roman"/>
          <w:color w:val="auto"/>
          <w:spacing w:val="0"/>
          <w:position w:val="0"/>
          <w:sz w:val="24"/>
          <w:shd w:fill="auto" w:val="clear"/>
        </w:rPr>
        <w:t xml:space="preserve">Australia</w:t>
        <w:br/>
        <w:br/>
      </w:r>
      <w:r>
        <w:rPr>
          <w:rFonts w:ascii="Times New Roman" w:hAnsi="Times New Roman" w:cs="Times New Roman" w:eastAsia="Times New Roman"/>
          <w:color w:val="auto"/>
          <w:spacing w:val="0"/>
          <w:position w:val="0"/>
          <w:sz w:val="24"/>
          <w:shd w:fill="auto" w:val="clear"/>
        </w:rPr>
        <w:t xml:space="preserve">Agenda Item</w:t>
      </w:r>
      <w:r>
        <w:rPr>
          <w:rFonts w:ascii="Times New Roman" w:hAnsi="Times New Roman" w:cs="Times New Roman" w:eastAsia="Times New Roman"/>
          <w:color w:val="auto"/>
          <w:spacing w:val="0"/>
          <w:position w:val="0"/>
          <w:sz w:val="24"/>
          <w:shd w:fill="auto" w:val="clear"/>
        </w:rPr>
        <w:t xml:space="preserve"> I: Protection of Marine and Ocean Fauna from </w:t>
      </w:r>
      <w:r>
        <w:rPr>
          <w:rFonts w:ascii="Times New Roman" w:hAnsi="Times New Roman" w:cs="Times New Roman" w:eastAsia="Times New Roman"/>
          <w:color w:val="auto"/>
          <w:spacing w:val="0"/>
          <w:position w:val="0"/>
          <w:sz w:val="24"/>
          <w:shd w:fill="auto" w:val="clear"/>
        </w:rPr>
        <w:t xml:space="preserve">Industrial Exploitation, Pollution, and Habitat Destruction</w:t>
        <w:br/>
        <w:br/>
        <w:t xml:space="preserve">Agenda Item II: Strengthening Global Frameworks for the Protection and Welfare of Animals in Industrial, Agricultural, and Scientific Sectors.</w:t>
      </w:r>
    </w:p>
    <w:p>
      <w:pPr>
        <w:spacing w:before="0" w:after="200" w:line="276"/>
        <w:ind w:right="0" w:left="0" w:firstLine="0"/>
        <w:jc w:val="left"/>
        <w:rPr>
          <w:rFonts w:ascii="Calibri" w:hAnsi="Calibri" w:cs="Calibri" w:eastAsia="Calibri"/>
          <w:b/>
          <w:color w:val="365F91"/>
          <w:spacing w:val="0"/>
          <w:position w:val="0"/>
          <w:sz w:val="28"/>
          <w:shd w:fill="auto" w:val="clear"/>
        </w:rPr>
      </w:pPr>
      <w:r>
        <w:rPr>
          <w:rFonts w:ascii="Times New Roman" w:hAnsi="Times New Roman" w:cs="Times New Roman" w:eastAsia="Times New Roman"/>
          <w:color w:val="auto"/>
          <w:spacing w:val="0"/>
          <w:position w:val="0"/>
          <w:sz w:val="24"/>
          <w:shd w:fill="auto" w:val="clear"/>
        </w:rPr>
        <w:t xml:space="preserve">Delegate: Mustafa O</w:t>
      </w:r>
      <w:r>
        <w:rPr>
          <w:rFonts w:ascii="Times New Roman" w:hAnsi="Times New Roman" w:cs="Times New Roman" w:eastAsia="Times New Roman"/>
          <w:color w:val="auto"/>
          <w:spacing w:val="0"/>
          <w:position w:val="0"/>
          <w:sz w:val="24"/>
          <w:shd w:fill="auto" w:val="clear"/>
        </w:rPr>
        <w:t xml:space="preserve">ğuzhan </w:t>
      </w:r>
      <w:r>
        <w:rPr>
          <w:rFonts w:ascii="Times New Roman" w:hAnsi="Times New Roman" w:cs="Times New Roman" w:eastAsia="Times New Roman"/>
          <w:color w:val="auto"/>
          <w:spacing w:val="0"/>
          <w:position w:val="0"/>
          <w:sz w:val="24"/>
          <w:shd w:fill="auto" w:val="clear"/>
        </w:rPr>
        <w:t xml:space="preserve">Çelik</w:t>
        <w:br/>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Australia, a huge island continent at the intersection of the Indian and Pacific oceans, has a population of only 26 million people, but it assumes a much greater responsibility on the global stage than its geography. As an active member of the United Nations, G20, and OECD, we bear the responsibility of protecting the world's third-largest maritime jurisdiction.  As the Australian delegation, we embrace pragmatic state policy to preserve this immense biological diversity for future generations, while maintaining our identity as one of the world's most reliable agricultural exporters.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degradation of marine ecosystems and inadequate standards for animal welfare are not just technical agenda items for us; they are a crisis that fundamentally shakes global food security.  Warming oceans, coral bleaching on the Great Barrier Reef and depleted stocks due to illegal industrial fishing are directly our reality, which is an island nation. Decrying ethical standards in animal husbandry is not only a conscientious problem, but also an economic risk that threatens the sustainability of international trade. Instead of clashing industrial growth with environmental ethical values, Australia considers ecosystem health as a vital necessity for the well-being of our indigenous communities, especially those living in close proximity to the sea.</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Australia's track record in translating this vision into concrete action is quite clear.  To protect our oceans, we have built our policies on UNCLOS (the United Nations Convention on the Law of the Sea)  Within the country, we have established a shield for our unique species with the Environmental Protection and Biodiversity Conservation Act. In the fields of agriculture and science, the Australian Animal Welfare Standards ensure that ethics are never sacrificed to industrial interests. On a regional scale, we stand firmly beside our neighbors in the Pacific Islands as they navigate the pressures of environmental pollution and resource exploitation. For Australia, this is more than just financial aid; it is a commitment to sharing our technical expertise and strengthening the collective resilience of our region.</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Motivated by the deep obligation to protect the dignity of all living things and maintain the fragile balance of our world's ecosystems, Australia proposes the following strategic interventions: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Strengthening RFMOs: Transforming Regional Fisheries Management Organizations into a real control mechanism against industrial greed.</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Global 3R Strategy: Globalizing the "Replacement, Reduction, and Refinement" model to minimize animal experiments in scientific research.</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Combating Land-Based Pollution: Establishing aggressive international partnerships to halt plastic and chemical waste reaching oceans at the source.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Transparent Accreditation: Creating a transparent, global monitoring system to verify that welfare standards in industrial animal farming are not just on paper.</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Expanding Protected Areas: Increasing the number and coverage of Marine Protected Areas (MPAs) to allow damaged habitats to recover.</w:t>
        <w:br/>
        <w:br/>
      </w: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ab/>
        <w:br/>
        <w:t xml:space="preserve">Bibliography:</w:t>
        <w:br/>
        <w:br/>
        <w:t xml:space="preserve">Food and Agriculture Organization of the United Nations (FAO). (2026). TEDUMUN 2026 Study Guide: Protecting Marine and Oceanic Fauna &amp; Strengthening Global Animal Welfare Frameworks.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United Nations. (1982). United Nations Convention on the Law of the Sea (UNCLOS). Montego Bay, Jamaica.</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Australian Government </w:t>
      </w:r>
      <w:r>
        <w:rPr>
          <w:rFonts w:ascii="Times New Roman" w:hAnsi="Times New Roman" w:cs="Times New Roman" w:eastAsia="Times New Roman"/>
          <w:color w:val="auto"/>
          <w:spacing w:val="0"/>
          <w:position w:val="0"/>
          <w:sz w:val="24"/>
          <w:shd w:fill="auto" w:val="clear"/>
        </w:rPr>
        <w:t xml:space="preserve">– Department of Climate Change, Energy, the Environment and Water. (1999). Environment Protection and Biodiversity Conservation Act 1999 (EPBC Act).</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Australian Government – Department of Agriculture, Fisheries and Forestry. (2023). Australian Animal Welfare Standards and Guidelines.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World Organisation for Animal Health (WOAH). (2017). Animal welfare: An asset for livestock production. Bulletin 2017/1.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Great Barrier Reef Marine Park Authority (GBRMPA). (2024). Reef Health and Climate Change Outlook Report.</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United Nations Environment Programme (UNEP). (2023). From Pollution to Solution: A Global Assessment of Marine Litter and Plastic Pollution.</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