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2351" w14:textId="4049EB06" w:rsidR="00914CFA" w:rsidRDefault="00914CFA" w:rsidP="0030161C">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ECA0E9B" wp14:editId="6F037450">
                <wp:simplePos x="0" y="0"/>
                <wp:positionH relativeFrom="column">
                  <wp:posOffset>1881505</wp:posOffset>
                </wp:positionH>
                <wp:positionV relativeFrom="paragraph">
                  <wp:posOffset>196850</wp:posOffset>
                </wp:positionV>
                <wp:extent cx="2114550" cy="781050"/>
                <wp:effectExtent l="0" t="0" r="0" b="0"/>
                <wp:wrapNone/>
                <wp:docPr id="567879770" name="Metin Kutusu 3"/>
                <wp:cNvGraphicFramePr/>
                <a:graphic xmlns:a="http://schemas.openxmlformats.org/drawingml/2006/main">
                  <a:graphicData uri="http://schemas.microsoft.com/office/word/2010/wordprocessingShape">
                    <wps:wsp>
                      <wps:cNvSpPr txBox="1"/>
                      <wps:spPr>
                        <a:xfrm>
                          <a:off x="0" y="0"/>
                          <a:ext cx="2114550" cy="781050"/>
                        </a:xfrm>
                        <a:prstGeom prst="rect">
                          <a:avLst/>
                        </a:prstGeom>
                        <a:solidFill>
                          <a:schemeClr val="lt1"/>
                        </a:solidFill>
                        <a:ln w="6350">
                          <a:noFill/>
                        </a:ln>
                      </wps:spPr>
                      <wps:txbx>
                        <w:txbxContent>
                          <w:p w14:paraId="03A0D104" w14:textId="71A51C7C" w:rsidR="00914CFA" w:rsidRPr="00914CFA" w:rsidRDefault="00914CFA">
                            <w:pPr>
                              <w:rPr>
                                <w:rFonts w:ascii="Times New Roman" w:hAnsi="Times New Roman" w:cs="Times New Roman"/>
                                <w:b/>
                                <w:bCs/>
                                <w:sz w:val="24"/>
                                <w:szCs w:val="24"/>
                              </w:rPr>
                            </w:pPr>
                            <w:r w:rsidRPr="00914CFA">
                              <w:rPr>
                                <w:rFonts w:ascii="Times New Roman" w:hAnsi="Times New Roman" w:cs="Times New Roman"/>
                                <w:b/>
                                <w:bCs/>
                                <w:sz w:val="24"/>
                                <w:szCs w:val="24"/>
                              </w:rPr>
                              <w:t>Ensuring access to education for refugee children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CA0E9B" id="_x0000_t202" coordsize="21600,21600" o:spt="202" path="m,l,21600r21600,l21600,xe">
                <v:stroke joinstyle="miter"/>
                <v:path gradientshapeok="t" o:connecttype="rect"/>
              </v:shapetype>
              <v:shape id="Metin Kutusu 3" o:spid="_x0000_s1026" type="#_x0000_t202" style="position:absolute;margin-left:148.15pt;margin-top:15.5pt;width:166.5pt;height: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" fillcolor="white [3201]" stroked="f" strokeweight=".5pt">
                <v:textbox>
                  <w:txbxContent>
                    <w:p w14:paraId="03A0D104" w14:textId="71A51C7C" w:rsidR="00914CFA" w:rsidRPr="00914CFA" w:rsidRDefault="00914CFA">
                      <w:pPr>
                        <w:rPr>
                          <w:rFonts w:ascii="Times New Roman" w:hAnsi="Times New Roman" w:cs="Times New Roman"/>
                          <w:b/>
                          <w:bCs/>
                          <w:sz w:val="24"/>
                          <w:szCs w:val="24"/>
                        </w:rPr>
                      </w:pPr>
                      <w:r w:rsidRPr="00914CFA">
                        <w:rPr>
                          <w:rFonts w:ascii="Times New Roman" w:hAnsi="Times New Roman" w:cs="Times New Roman"/>
                          <w:b/>
                          <w:bCs/>
                          <w:sz w:val="24"/>
                          <w:szCs w:val="24"/>
                        </w:rPr>
                        <w:t>Ensuring access to education for refugee children</w:t>
                      </w:r>
                    </w:p>
                  </w:txbxContent>
                </v:textbox>
              </v:shape>
            </w:pict>
          </mc:Fallback>
        </mc:AlternateContent>
      </w:r>
      <w:r>
        <w:rPr>
          <w:rFonts w:ascii="Times New Roman" w:hAnsi="Times New Roman" w:cs="Times New Roman"/>
          <w:noProof/>
        </w:rPr>
        <w:drawing>
          <wp:inline distT="0" distB="0" distL="0" distR="0" wp14:anchorId="1B7776E4" wp14:editId="598F63CD">
            <wp:extent cx="1484484" cy="989965"/>
            <wp:effectExtent l="0" t="0" r="1905" b="635"/>
            <wp:docPr id="7436492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503130" cy="1002400"/>
                    </a:xfrm>
                    <a:prstGeom prst="rect">
                      <a:avLst/>
                    </a:prstGeom>
                    <a:noFill/>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0" distR="0" wp14:anchorId="0095A704" wp14:editId="57F8010F">
            <wp:extent cx="1447800" cy="1000125"/>
            <wp:effectExtent l="0" t="0" r="0" b="9525"/>
            <wp:docPr id="195692835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447800" cy="1000125"/>
                    </a:xfrm>
                    <a:prstGeom prst="rect">
                      <a:avLst/>
                    </a:prstGeom>
                    <a:noFill/>
                  </pic:spPr>
                </pic:pic>
              </a:graphicData>
            </a:graphic>
          </wp:inline>
        </w:drawing>
      </w:r>
    </w:p>
    <w:p w14:paraId="601123A1" w14:textId="7F7D25B6" w:rsidR="0030161C" w:rsidRPr="0030161C" w:rsidRDefault="0030161C" w:rsidP="0030161C">
      <w:pPr>
        <w:rPr>
          <w:rFonts w:ascii="Times New Roman" w:hAnsi="Times New Roman" w:cs="Times New Roman"/>
        </w:rPr>
      </w:pPr>
      <w:r w:rsidRPr="0030161C">
        <w:rPr>
          <w:rFonts w:ascii="Times New Roman" w:hAnsi="Times New Roman" w:cs="Times New Roman"/>
        </w:rPr>
        <w:t xml:space="preserve">COMMITTEE:SOCHUM                 </w:t>
      </w:r>
      <w:r w:rsidR="00914CFA">
        <w:rPr>
          <w:rFonts w:ascii="Times New Roman" w:hAnsi="Times New Roman" w:cs="Times New Roman"/>
        </w:rPr>
        <w:t xml:space="preserve">                             </w:t>
      </w:r>
      <w:r w:rsidRPr="0030161C">
        <w:rPr>
          <w:rFonts w:ascii="Times New Roman" w:hAnsi="Times New Roman" w:cs="Times New Roman"/>
        </w:rPr>
        <w:t xml:space="preserve"> COUNTRY:FRANCE</w:t>
      </w:r>
    </w:p>
    <w:p w14:paraId="0C90B1A1" w14:textId="77777777" w:rsidR="0030161C" w:rsidRPr="0030161C" w:rsidRDefault="0030161C" w:rsidP="0030161C">
      <w:pPr>
        <w:rPr>
          <w:rFonts w:ascii="Times New Roman" w:hAnsi="Times New Roman" w:cs="Times New Roman"/>
        </w:rPr>
      </w:pPr>
      <w:r w:rsidRPr="0030161C">
        <w:rPr>
          <w:rFonts w:ascii="Times New Roman" w:hAnsi="Times New Roman" w:cs="Times New Roman"/>
        </w:rPr>
        <w:t>Delegate:Ömer Caner Yılmaz,Egebil Schools</w:t>
      </w:r>
    </w:p>
    <w:p w14:paraId="7E929200" w14:textId="77777777" w:rsidR="00914CFA" w:rsidRDefault="0030161C" w:rsidP="0030161C">
      <w:pPr>
        <w:rPr>
          <w:rFonts w:ascii="Times New Roman" w:hAnsi="Times New Roman" w:cs="Times New Roman"/>
        </w:rPr>
      </w:pPr>
      <w:r w:rsidRPr="0030161C">
        <w:rPr>
          <w:rFonts w:ascii="Times New Roman" w:hAnsi="Times New Roman" w:cs="Times New Roman"/>
        </w:rPr>
        <w:t xml:space="preserve">Although all children’s fundamental right  to basic education is recognized under  international and regional human rights  law, including EU law, in practice the  type, quality and duration of schooling  offered to asylum-seeking, refugee and  migrant children depends more on where  they are in the migrant/asylum process  than on their educational needs. </w:t>
      </w:r>
    </w:p>
    <w:p w14:paraId="31207364" w14:textId="60BE460F" w:rsidR="0030161C" w:rsidRPr="0030161C" w:rsidRDefault="0030161C" w:rsidP="0030161C">
      <w:pPr>
        <w:rPr>
          <w:rFonts w:ascii="Times New Roman" w:hAnsi="Times New Roman" w:cs="Times New Roman"/>
        </w:rPr>
      </w:pPr>
      <w:r w:rsidRPr="0030161C">
        <w:rPr>
          <w:rFonts w:ascii="Times New Roman" w:hAnsi="Times New Roman" w:cs="Times New Roman"/>
        </w:rPr>
        <w:t>Children of EU-born migrants  generally have the right to be admitted to their host State’s educational, apprenticeship and vocational training courses under the same conditions as nationals, including access to education- related social benefits.  International protection beneficiaries (refugees under the 1951 Convention  and subsidiary protection holders),  those enjoying temporary protection,  as well as those with long term residence  status and those who are reunited  with family members lawfully residing  in the EU, are also entitled to access education under the same conditions as  nationals, but they are not automatically  entitled to associated benefits, which  possibly restricts their ability to access  quality education.</w:t>
      </w:r>
    </w:p>
    <w:p w14:paraId="44F7930D" w14:textId="77777777" w:rsidR="0030161C" w:rsidRPr="0030161C" w:rsidRDefault="0030161C" w:rsidP="0030161C">
      <w:pPr>
        <w:rPr>
          <w:rFonts w:ascii="Times New Roman" w:hAnsi="Times New Roman" w:cs="Times New Roman"/>
        </w:rPr>
      </w:pPr>
      <w:r w:rsidRPr="0030161C">
        <w:rPr>
          <w:rFonts w:ascii="Times New Roman" w:hAnsi="Times New Roman" w:cs="Times New Roman"/>
        </w:rPr>
        <w:t>Refugee and migrant children appear in national education statistics only when they do not speak the language of instruction (French) and require additional language support.  Latest publicly available data from the 2016-2017 school year indicates that, among the 12.9 million children enrolled in both public and  private education, some 60,673  were non–French speaking. Of  them, 29,701 were registered in primary schools, 24,540 in lower  secondary and 6,432 in upper secondary education. The majority of non-French  speaking children were registered in the Paris region (4 in every 10 children), followed by Lyon-Grenoble, Marseille-Nice and Nancy-Strasbourg regions. On average around 90% of non- French speaking children were placed in preparatory classes (specific classes for non-French speaking children) or have benefitted from additional language support.</w:t>
      </w:r>
    </w:p>
    <w:p w14:paraId="21F7C58C" w14:textId="7F1CA3AF" w:rsidR="008866A7" w:rsidRPr="0030161C" w:rsidRDefault="008866A7" w:rsidP="0030161C">
      <w:pPr>
        <w:rPr>
          <w:rFonts w:ascii="Times New Roman" w:hAnsi="Times New Roman" w:cs="Times New Roman"/>
        </w:rPr>
      </w:pPr>
    </w:p>
    <w:sectPr w:rsidR="008866A7" w:rsidRPr="003016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8D4"/>
    <w:rsid w:val="0030161C"/>
    <w:rsid w:val="0039503F"/>
    <w:rsid w:val="004D3A1C"/>
    <w:rsid w:val="006108D4"/>
    <w:rsid w:val="00714523"/>
    <w:rsid w:val="0073034A"/>
    <w:rsid w:val="008866A7"/>
    <w:rsid w:val="00914C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6ADC"/>
  <w15:chartTrackingRefBased/>
  <w15:docId w15:val="{D29934E1-2A67-49D4-9D74-63DE9D25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108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108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108D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108D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108D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108D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108D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108D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108D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108D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108D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108D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108D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108D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108D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108D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108D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108D4"/>
    <w:rPr>
      <w:rFonts w:eastAsiaTheme="majorEastAsia" w:cstheme="majorBidi"/>
      <w:color w:val="272727" w:themeColor="text1" w:themeTint="D8"/>
    </w:rPr>
  </w:style>
  <w:style w:type="paragraph" w:styleId="KonuBal">
    <w:name w:val="Title"/>
    <w:basedOn w:val="Normal"/>
    <w:next w:val="Normal"/>
    <w:link w:val="KonuBalChar"/>
    <w:uiPriority w:val="10"/>
    <w:qFormat/>
    <w:rsid w:val="006108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8D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108D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108D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108D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108D4"/>
    <w:rPr>
      <w:i/>
      <w:iCs/>
      <w:color w:val="404040" w:themeColor="text1" w:themeTint="BF"/>
    </w:rPr>
  </w:style>
  <w:style w:type="paragraph" w:styleId="ListeParagraf">
    <w:name w:val="List Paragraph"/>
    <w:basedOn w:val="Normal"/>
    <w:uiPriority w:val="34"/>
    <w:qFormat/>
    <w:rsid w:val="006108D4"/>
    <w:pPr>
      <w:ind w:left="720"/>
      <w:contextualSpacing/>
    </w:pPr>
  </w:style>
  <w:style w:type="character" w:styleId="GlVurgulama">
    <w:name w:val="Intense Emphasis"/>
    <w:basedOn w:val="VarsaylanParagrafYazTipi"/>
    <w:uiPriority w:val="21"/>
    <w:qFormat/>
    <w:rsid w:val="006108D4"/>
    <w:rPr>
      <w:i/>
      <w:iCs/>
      <w:color w:val="2F5496" w:themeColor="accent1" w:themeShade="BF"/>
    </w:rPr>
  </w:style>
  <w:style w:type="paragraph" w:styleId="GlAlnt">
    <w:name w:val="Intense Quote"/>
    <w:basedOn w:val="Normal"/>
    <w:next w:val="Normal"/>
    <w:link w:val="GlAlntChar"/>
    <w:uiPriority w:val="30"/>
    <w:qFormat/>
    <w:rsid w:val="006108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108D4"/>
    <w:rPr>
      <w:i/>
      <w:iCs/>
      <w:color w:val="2F5496" w:themeColor="accent1" w:themeShade="BF"/>
    </w:rPr>
  </w:style>
  <w:style w:type="character" w:styleId="GlBavuru">
    <w:name w:val="Intense Reference"/>
    <w:basedOn w:val="VarsaylanParagrafYazTipi"/>
    <w:uiPriority w:val="32"/>
    <w:qFormat/>
    <w:rsid w:val="006108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Keleş</dc:creator>
  <cp:keywords/>
  <dc:description/>
  <cp:lastModifiedBy>Dilan Keleş</cp:lastModifiedBy>
  <cp:revision>5</cp:revision>
  <dcterms:created xsi:type="dcterms:W3CDTF">2025-12-10T18:55:00Z</dcterms:created>
  <dcterms:modified xsi:type="dcterms:W3CDTF">2025-12-11T17:44:00Z</dcterms:modified>
</cp:coreProperties>
</file>