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3A771" w14:textId="6426BD31" w:rsidR="00E20275" w:rsidRPr="003A0563" w:rsidRDefault="00333ABF" w:rsidP="00E20275">
      <w:pPr>
        <w:pStyle w:val="p1"/>
        <w:rPr>
          <w:rStyle w:val="s1"/>
          <w:rFonts w:ascii="Times New Roman" w:hAnsi="Times New Roman"/>
          <w:sz w:val="22"/>
          <w:szCs w:val="22"/>
        </w:rPr>
      </w:pPr>
      <w:r w:rsidRPr="003A0563">
        <w:rPr>
          <w:rStyle w:val="s1"/>
          <w:rFonts w:ascii="Times New Roman" w:hAnsi="Times New Roman"/>
          <w:sz w:val="22"/>
          <w:szCs w:val="22"/>
        </w:rPr>
        <w:t>Committe: UNESCO</w:t>
      </w:r>
    </w:p>
    <w:p w14:paraId="31D4DF31" w14:textId="77777777" w:rsidR="00E20275" w:rsidRPr="003A0563" w:rsidRDefault="00333ABF" w:rsidP="00E20275">
      <w:pPr>
        <w:pStyle w:val="p1"/>
        <w:rPr>
          <w:rStyle w:val="s1"/>
          <w:rFonts w:ascii="Times New Roman" w:hAnsi="Times New Roman"/>
          <w:sz w:val="22"/>
          <w:szCs w:val="22"/>
        </w:rPr>
      </w:pPr>
      <w:r w:rsidRPr="003A0563">
        <w:rPr>
          <w:rStyle w:val="s1"/>
          <w:rFonts w:ascii="Times New Roman" w:hAnsi="Times New Roman"/>
          <w:sz w:val="22"/>
          <w:szCs w:val="22"/>
        </w:rPr>
        <w:t>Country: United States of America</w:t>
      </w:r>
    </w:p>
    <w:p w14:paraId="00DD724C" w14:textId="6191CF91" w:rsidR="00333ABF" w:rsidRPr="003A0563" w:rsidRDefault="00333ABF" w:rsidP="00E20275">
      <w:pPr>
        <w:pStyle w:val="p1"/>
        <w:rPr>
          <w:rFonts w:ascii="Times New Roman" w:hAnsi="Times New Roman"/>
          <w:sz w:val="22"/>
          <w:szCs w:val="22"/>
        </w:rPr>
      </w:pPr>
      <w:r w:rsidRPr="003A0563">
        <w:rPr>
          <w:rStyle w:val="s1"/>
          <w:rFonts w:ascii="Times New Roman" w:hAnsi="Times New Roman"/>
          <w:sz w:val="22"/>
          <w:szCs w:val="22"/>
        </w:rPr>
        <w:t>Agenda: Reducing inequalities in digital education</w:t>
      </w:r>
    </w:p>
    <w:p w14:paraId="409ECB04" w14:textId="635B5684" w:rsidR="00333ABF" w:rsidRPr="003A0563" w:rsidRDefault="00333ABF">
      <w:pPr>
        <w:pStyle w:val="p3"/>
        <w:rPr>
          <w:rFonts w:ascii="Times New Roman" w:hAnsi="Times New Roman"/>
          <w:sz w:val="22"/>
          <w:szCs w:val="22"/>
        </w:rPr>
      </w:pPr>
      <w:r w:rsidRPr="003A0563">
        <w:rPr>
          <w:rStyle w:val="s1"/>
          <w:rFonts w:ascii="Times New Roman" w:hAnsi="Times New Roman"/>
          <w:sz w:val="22"/>
          <w:szCs w:val="22"/>
        </w:rPr>
        <w:t>Delegate: Eren Kayar, Egebil Schools</w:t>
      </w:r>
    </w:p>
    <w:p w14:paraId="26DF3D62" w14:textId="77777777" w:rsidR="00333ABF" w:rsidRPr="003A0563" w:rsidRDefault="00333ABF">
      <w:pPr>
        <w:pStyle w:val="p2"/>
        <w:rPr>
          <w:rFonts w:ascii="Times New Roman" w:hAnsi="Times New Roman"/>
          <w:sz w:val="22"/>
          <w:szCs w:val="22"/>
        </w:rPr>
      </w:pPr>
    </w:p>
    <w:p w14:paraId="5D42A5C7" w14:textId="77777777" w:rsidR="00333ABF" w:rsidRPr="003A0563" w:rsidRDefault="00333ABF">
      <w:pPr>
        <w:pStyle w:val="p3"/>
        <w:rPr>
          <w:rFonts w:ascii="Times New Roman" w:hAnsi="Times New Roman"/>
          <w:sz w:val="22"/>
          <w:szCs w:val="22"/>
        </w:rPr>
      </w:pPr>
      <w:r w:rsidRPr="003A0563">
        <w:rPr>
          <w:rStyle w:val="s1"/>
          <w:rFonts w:ascii="Times New Roman" w:hAnsi="Times New Roman"/>
          <w:sz w:val="22"/>
          <w:szCs w:val="22"/>
        </w:rPr>
        <w:t xml:space="preserve">The </w:t>
      </w:r>
      <w:r w:rsidRPr="003A0563">
        <w:rPr>
          <w:rStyle w:val="s2"/>
          <w:rFonts w:ascii="Times New Roman" w:hAnsi="Times New Roman"/>
          <w:sz w:val="22"/>
          <w:szCs w:val="22"/>
        </w:rPr>
        <w:t>United States of America</w:t>
      </w:r>
      <w:r w:rsidRPr="003A0563">
        <w:rPr>
          <w:rStyle w:val="s1"/>
          <w:rFonts w:ascii="Times New Roman" w:hAnsi="Times New Roman"/>
          <w:sz w:val="22"/>
          <w:szCs w:val="22"/>
        </w:rPr>
        <w:t xml:space="preserve">,is a country primarily located in </w:t>
      </w:r>
      <w:hyperlink r:id="rId5" w:history="1">
        <w:r w:rsidRPr="003A0563">
          <w:rPr>
            <w:rStyle w:val="Kpr"/>
            <w:rFonts w:ascii="Times New Roman" w:hAnsi="Times New Roman"/>
            <w:sz w:val="22"/>
            <w:szCs w:val="22"/>
          </w:rPr>
          <w:t>North America</w:t>
        </w:r>
      </w:hyperlink>
      <w:r w:rsidRPr="003A0563">
        <w:rPr>
          <w:rStyle w:val="s1"/>
          <w:rFonts w:ascii="Times New Roman" w:hAnsi="Times New Roman"/>
          <w:sz w:val="22"/>
          <w:szCs w:val="22"/>
        </w:rPr>
        <w:t xml:space="preserve">. It is a </w:t>
      </w:r>
      <w:hyperlink r:id="rId6" w:history="1">
        <w:r w:rsidRPr="003A0563">
          <w:rPr>
            <w:rStyle w:val="Kpr"/>
            <w:rFonts w:ascii="Times New Roman" w:hAnsi="Times New Roman"/>
            <w:sz w:val="22"/>
            <w:szCs w:val="22"/>
          </w:rPr>
          <w:t>federal republic</w:t>
        </w:r>
      </w:hyperlink>
      <w:r w:rsidRPr="003A0563">
        <w:rPr>
          <w:rStyle w:val="s1"/>
          <w:rFonts w:ascii="Times New Roman" w:hAnsi="Times New Roman"/>
          <w:sz w:val="22"/>
          <w:szCs w:val="22"/>
        </w:rPr>
        <w:t xml:space="preserve"> of 50 </w:t>
      </w:r>
      <w:hyperlink r:id="rId7" w:history="1">
        <w:r w:rsidRPr="003A0563">
          <w:rPr>
            <w:rStyle w:val="Kpr"/>
            <w:rFonts w:ascii="Times New Roman" w:hAnsi="Times New Roman"/>
            <w:sz w:val="22"/>
            <w:szCs w:val="22"/>
          </w:rPr>
          <w:t>states</w:t>
        </w:r>
      </w:hyperlink>
      <w:r w:rsidRPr="003A0563">
        <w:rPr>
          <w:rStyle w:val="s1"/>
          <w:rFonts w:ascii="Times New Roman" w:hAnsi="Times New Roman"/>
          <w:sz w:val="22"/>
          <w:szCs w:val="22"/>
        </w:rPr>
        <w:t xml:space="preserve"> and a federal capital district, </w:t>
      </w:r>
      <w:hyperlink r:id="rId8" w:history="1">
        <w:r w:rsidRPr="003A0563">
          <w:rPr>
            <w:rStyle w:val="Kpr"/>
            <w:rFonts w:ascii="Times New Roman" w:hAnsi="Times New Roman"/>
            <w:sz w:val="22"/>
            <w:szCs w:val="22"/>
          </w:rPr>
          <w:t>Washington, D.C.</w:t>
        </w:r>
      </w:hyperlink>
      <w:r w:rsidRPr="003A0563">
        <w:rPr>
          <w:rStyle w:val="s1"/>
          <w:rFonts w:ascii="Times New Roman" w:hAnsi="Times New Roman"/>
          <w:sz w:val="22"/>
          <w:szCs w:val="22"/>
        </w:rPr>
        <w:t xml:space="preserve"> The 48 </w:t>
      </w:r>
      <w:hyperlink r:id="rId9" w:history="1">
        <w:r w:rsidRPr="003A0563">
          <w:rPr>
            <w:rStyle w:val="Kpr"/>
            <w:rFonts w:ascii="Times New Roman" w:hAnsi="Times New Roman"/>
            <w:sz w:val="22"/>
            <w:szCs w:val="22"/>
          </w:rPr>
          <w:t>contiguous states</w:t>
        </w:r>
      </w:hyperlink>
      <w:r w:rsidRPr="003A0563">
        <w:rPr>
          <w:rStyle w:val="s1"/>
          <w:rFonts w:ascii="Times New Roman" w:hAnsi="Times New Roman"/>
          <w:sz w:val="22"/>
          <w:szCs w:val="22"/>
        </w:rPr>
        <w:t xml:space="preserve"> border </w:t>
      </w:r>
      <w:hyperlink r:id="rId10" w:history="1">
        <w:r w:rsidRPr="003A0563">
          <w:rPr>
            <w:rStyle w:val="Kpr"/>
            <w:rFonts w:ascii="Times New Roman" w:hAnsi="Times New Roman"/>
            <w:sz w:val="22"/>
            <w:szCs w:val="22"/>
          </w:rPr>
          <w:t>Canada</w:t>
        </w:r>
      </w:hyperlink>
      <w:r w:rsidRPr="003A0563">
        <w:rPr>
          <w:rStyle w:val="s1"/>
          <w:rFonts w:ascii="Times New Roman" w:hAnsi="Times New Roman"/>
          <w:sz w:val="22"/>
          <w:szCs w:val="22"/>
        </w:rPr>
        <w:t xml:space="preserve"> to the north and </w:t>
      </w:r>
      <w:hyperlink r:id="rId11" w:history="1">
        <w:r w:rsidRPr="003A0563">
          <w:rPr>
            <w:rStyle w:val="Kpr"/>
            <w:rFonts w:ascii="Times New Roman" w:hAnsi="Times New Roman"/>
            <w:sz w:val="22"/>
            <w:szCs w:val="22"/>
          </w:rPr>
          <w:t>Mexico</w:t>
        </w:r>
      </w:hyperlink>
      <w:r w:rsidRPr="003A0563">
        <w:rPr>
          <w:rStyle w:val="s1"/>
          <w:rFonts w:ascii="Times New Roman" w:hAnsi="Times New Roman"/>
          <w:sz w:val="22"/>
          <w:szCs w:val="22"/>
        </w:rPr>
        <w:t xml:space="preserve"> to the south, with the </w:t>
      </w:r>
      <w:hyperlink r:id="rId12" w:history="1">
        <w:r w:rsidRPr="003A0563">
          <w:rPr>
            <w:rStyle w:val="Kpr"/>
            <w:rFonts w:ascii="Times New Roman" w:hAnsi="Times New Roman"/>
            <w:sz w:val="22"/>
            <w:szCs w:val="22"/>
          </w:rPr>
          <w:t>semi-exclave</w:t>
        </w:r>
      </w:hyperlink>
      <w:r w:rsidRPr="003A0563">
        <w:rPr>
          <w:rStyle w:val="s1"/>
          <w:rFonts w:ascii="Times New Roman" w:hAnsi="Times New Roman"/>
          <w:sz w:val="22"/>
          <w:szCs w:val="22"/>
        </w:rPr>
        <w:t xml:space="preserve"> of </w:t>
      </w:r>
      <w:hyperlink r:id="rId13" w:history="1">
        <w:r w:rsidRPr="003A0563">
          <w:rPr>
            <w:rStyle w:val="Kpr"/>
            <w:rFonts w:ascii="Times New Roman" w:hAnsi="Times New Roman"/>
            <w:sz w:val="22"/>
            <w:szCs w:val="22"/>
          </w:rPr>
          <w:t>Alaska</w:t>
        </w:r>
      </w:hyperlink>
      <w:r w:rsidRPr="003A0563">
        <w:rPr>
          <w:rStyle w:val="s1"/>
          <w:rFonts w:ascii="Times New Roman" w:hAnsi="Times New Roman"/>
          <w:sz w:val="22"/>
          <w:szCs w:val="22"/>
        </w:rPr>
        <w:t xml:space="preserve"> in the northwest and the </w:t>
      </w:r>
      <w:hyperlink r:id="rId14" w:history="1">
        <w:r w:rsidRPr="003A0563">
          <w:rPr>
            <w:rStyle w:val="Kpr"/>
            <w:rFonts w:ascii="Times New Roman" w:hAnsi="Times New Roman"/>
            <w:sz w:val="22"/>
            <w:szCs w:val="22"/>
          </w:rPr>
          <w:t>archipelago</w:t>
        </w:r>
      </w:hyperlink>
      <w:r w:rsidRPr="003A0563">
        <w:rPr>
          <w:rStyle w:val="s1"/>
          <w:rFonts w:ascii="Times New Roman" w:hAnsi="Times New Roman"/>
          <w:sz w:val="22"/>
          <w:szCs w:val="22"/>
        </w:rPr>
        <w:t xml:space="preserve"> of </w:t>
      </w:r>
      <w:hyperlink r:id="rId15" w:history="1">
        <w:r w:rsidRPr="003A0563">
          <w:rPr>
            <w:rStyle w:val="Kpr"/>
            <w:rFonts w:ascii="Times New Roman" w:hAnsi="Times New Roman"/>
            <w:sz w:val="22"/>
            <w:szCs w:val="22"/>
          </w:rPr>
          <w:t>Hawaii</w:t>
        </w:r>
      </w:hyperlink>
      <w:r w:rsidRPr="003A0563">
        <w:rPr>
          <w:rStyle w:val="s1"/>
          <w:rFonts w:ascii="Times New Roman" w:hAnsi="Times New Roman"/>
          <w:sz w:val="22"/>
          <w:szCs w:val="22"/>
        </w:rPr>
        <w:t xml:space="preserve"> in the </w:t>
      </w:r>
      <w:hyperlink r:id="rId16" w:history="1">
        <w:r w:rsidRPr="003A0563">
          <w:rPr>
            <w:rStyle w:val="Kpr"/>
            <w:rFonts w:ascii="Times New Roman" w:hAnsi="Times New Roman"/>
            <w:sz w:val="22"/>
            <w:szCs w:val="22"/>
          </w:rPr>
          <w:t>Pacific Ocean</w:t>
        </w:r>
      </w:hyperlink>
      <w:r w:rsidRPr="003A0563">
        <w:rPr>
          <w:rStyle w:val="s1"/>
          <w:rFonts w:ascii="Times New Roman" w:hAnsi="Times New Roman"/>
          <w:sz w:val="22"/>
          <w:szCs w:val="22"/>
        </w:rPr>
        <w:t xml:space="preserve">. The United States also asserts sovereignty over five </w:t>
      </w:r>
      <w:hyperlink r:id="rId17" w:history="1">
        <w:r w:rsidRPr="003A0563">
          <w:rPr>
            <w:rStyle w:val="Kpr"/>
            <w:rFonts w:ascii="Times New Roman" w:hAnsi="Times New Roman"/>
            <w:sz w:val="22"/>
            <w:szCs w:val="22"/>
          </w:rPr>
          <w:t>major island territories</w:t>
        </w:r>
      </w:hyperlink>
      <w:r w:rsidRPr="003A0563">
        <w:rPr>
          <w:rStyle w:val="s1"/>
          <w:rFonts w:ascii="Times New Roman" w:hAnsi="Times New Roman"/>
          <w:sz w:val="22"/>
          <w:szCs w:val="22"/>
        </w:rPr>
        <w:t xml:space="preserve"> and </w:t>
      </w:r>
      <w:hyperlink r:id="rId18" w:history="1">
        <w:r w:rsidRPr="003A0563">
          <w:rPr>
            <w:rStyle w:val="Kpr"/>
            <w:rFonts w:ascii="Times New Roman" w:hAnsi="Times New Roman"/>
            <w:sz w:val="22"/>
            <w:szCs w:val="22"/>
          </w:rPr>
          <w:t>various uninhabited islands</w:t>
        </w:r>
      </w:hyperlink>
      <w:r w:rsidRPr="003A0563">
        <w:rPr>
          <w:rStyle w:val="s1"/>
          <w:rFonts w:ascii="Times New Roman" w:hAnsi="Times New Roman"/>
          <w:sz w:val="22"/>
          <w:szCs w:val="22"/>
        </w:rPr>
        <w:t xml:space="preserve"> in </w:t>
      </w:r>
      <w:hyperlink r:id="rId19" w:history="1">
        <w:r w:rsidRPr="003A0563">
          <w:rPr>
            <w:rStyle w:val="Kpr"/>
            <w:rFonts w:ascii="Times New Roman" w:hAnsi="Times New Roman"/>
            <w:sz w:val="22"/>
            <w:szCs w:val="22"/>
          </w:rPr>
          <w:t>Oceania</w:t>
        </w:r>
      </w:hyperlink>
      <w:r w:rsidRPr="003A0563">
        <w:rPr>
          <w:rStyle w:val="s1"/>
          <w:rFonts w:ascii="Times New Roman" w:hAnsi="Times New Roman"/>
          <w:sz w:val="22"/>
          <w:szCs w:val="22"/>
        </w:rPr>
        <w:t xml:space="preserve"> and the </w:t>
      </w:r>
      <w:hyperlink r:id="rId20" w:history="1">
        <w:r w:rsidRPr="003A0563">
          <w:rPr>
            <w:rStyle w:val="Kpr"/>
            <w:rFonts w:ascii="Times New Roman" w:hAnsi="Times New Roman"/>
            <w:sz w:val="22"/>
            <w:szCs w:val="22"/>
          </w:rPr>
          <w:t>Caribbean</w:t>
        </w:r>
      </w:hyperlink>
      <w:r w:rsidRPr="003A0563">
        <w:rPr>
          <w:rStyle w:val="s1"/>
          <w:rFonts w:ascii="Times New Roman" w:hAnsi="Times New Roman"/>
          <w:sz w:val="22"/>
          <w:szCs w:val="22"/>
        </w:rPr>
        <w:t xml:space="preserve">.It is a </w:t>
      </w:r>
      <w:hyperlink r:id="rId21" w:history="1">
        <w:r w:rsidRPr="003A0563">
          <w:rPr>
            <w:rStyle w:val="Kpr"/>
            <w:rFonts w:ascii="Times New Roman" w:hAnsi="Times New Roman"/>
            <w:sz w:val="22"/>
            <w:szCs w:val="22"/>
          </w:rPr>
          <w:t>megadiverse country</w:t>
        </w:r>
      </w:hyperlink>
      <w:r w:rsidRPr="003A0563">
        <w:rPr>
          <w:rStyle w:val="s1"/>
          <w:rFonts w:ascii="Times New Roman" w:hAnsi="Times New Roman"/>
          <w:sz w:val="22"/>
          <w:szCs w:val="22"/>
        </w:rPr>
        <w:t xml:space="preserve">, with the world's </w:t>
      </w:r>
      <w:hyperlink r:id="rId22" w:history="1">
        <w:r w:rsidRPr="003A0563">
          <w:rPr>
            <w:rStyle w:val="Kpr"/>
            <w:rFonts w:ascii="Times New Roman" w:hAnsi="Times New Roman"/>
            <w:sz w:val="22"/>
            <w:szCs w:val="22"/>
          </w:rPr>
          <w:t>third-largest land area</w:t>
        </w:r>
      </w:hyperlink>
      <w:r w:rsidRPr="003A0563">
        <w:rPr>
          <w:rStyle w:val="s1"/>
          <w:rFonts w:ascii="Times New Roman" w:hAnsi="Times New Roman"/>
          <w:sz w:val="22"/>
          <w:szCs w:val="22"/>
        </w:rPr>
        <w:t xml:space="preserve"> and </w:t>
      </w:r>
      <w:hyperlink r:id="rId23" w:history="1">
        <w:r w:rsidRPr="003A0563">
          <w:rPr>
            <w:rStyle w:val="Kpr"/>
            <w:rFonts w:ascii="Times New Roman" w:hAnsi="Times New Roman"/>
            <w:sz w:val="22"/>
            <w:szCs w:val="22"/>
          </w:rPr>
          <w:t>third-largest population</w:t>
        </w:r>
      </w:hyperlink>
      <w:r w:rsidRPr="003A0563">
        <w:rPr>
          <w:rStyle w:val="s1"/>
          <w:rFonts w:ascii="Times New Roman" w:hAnsi="Times New Roman"/>
          <w:sz w:val="22"/>
          <w:szCs w:val="22"/>
        </w:rPr>
        <w:t>, exceeding 340 million.</w:t>
      </w:r>
    </w:p>
    <w:p w14:paraId="60DEA094" w14:textId="77777777" w:rsidR="00333ABF" w:rsidRPr="003A0563" w:rsidRDefault="00333ABF">
      <w:pPr>
        <w:pStyle w:val="p2"/>
        <w:rPr>
          <w:rFonts w:ascii="Times New Roman" w:hAnsi="Times New Roman"/>
          <w:sz w:val="22"/>
          <w:szCs w:val="22"/>
        </w:rPr>
      </w:pPr>
    </w:p>
    <w:p w14:paraId="57C32D13" w14:textId="77777777" w:rsidR="00333ABF" w:rsidRPr="003A0563" w:rsidRDefault="00333ABF">
      <w:pPr>
        <w:pStyle w:val="p3"/>
        <w:rPr>
          <w:rFonts w:ascii="Times New Roman" w:hAnsi="Times New Roman"/>
          <w:sz w:val="22"/>
          <w:szCs w:val="22"/>
        </w:rPr>
      </w:pPr>
      <w:r w:rsidRPr="003A0563">
        <w:rPr>
          <w:rStyle w:val="s1"/>
          <w:rFonts w:ascii="Times New Roman" w:hAnsi="Times New Roman"/>
          <w:sz w:val="22"/>
          <w:szCs w:val="22"/>
        </w:rPr>
        <w:t xml:space="preserve">Income inequality in education often go hand in hand. Students who live in lower-income areas may have limited access to quality education. And, statistically, those from lower-income families are less likely to pursue higher education. In fact, only about </w:t>
      </w:r>
      <w:hyperlink r:id="rId24" w:history="1">
        <w:r w:rsidRPr="003A0563">
          <w:rPr>
            <w:rStyle w:val="s3"/>
            <w:rFonts w:ascii="Times New Roman" w:hAnsi="Times New Roman"/>
            <w:color w:val="0000FF"/>
            <w:sz w:val="22"/>
            <w:szCs w:val="22"/>
          </w:rPr>
          <w:t>51% of lower-income students enroll in college</w:t>
        </w:r>
      </w:hyperlink>
      <w:r w:rsidRPr="003A0563">
        <w:rPr>
          <w:rStyle w:val="s3"/>
          <w:rFonts w:ascii="Times New Roman" w:hAnsi="Times New Roman"/>
          <w:sz w:val="22"/>
          <w:szCs w:val="22"/>
        </w:rPr>
        <w:t xml:space="preserve"> </w:t>
      </w:r>
      <w:r w:rsidRPr="003A0563">
        <w:rPr>
          <w:rStyle w:val="s1"/>
          <w:rFonts w:ascii="Times New Roman" w:hAnsi="Times New Roman"/>
          <w:sz w:val="22"/>
          <w:szCs w:val="22"/>
        </w:rPr>
        <w:t>compared to 89% of students from well-off families. Economic status can also play a part in how well students can do in school. When a family is struggling financially, students may take on a part-time job to help with bills while still trying to balance their studies. They may also lack the resources other students have to keep on top of homework and assignments, like a laptop or even access to the internet. Another contributor to education inequality is a lack of knowledge about or resources for neurodivergent students. While there are special education classes for those who may need more help, a neurodivergent student who has ADHD, autism, or even depression and anxiety may not have as much understanding or assistance. Struggling to pay attention, stay focused, and meet deadlines, many of these students may feel “stupid” or as if school isn’t for them, leading to them failing or dropping out.</w:t>
      </w:r>
      <w:r w:rsidRPr="003A0563">
        <w:rPr>
          <w:rStyle w:val="apple-converted-space"/>
          <w:rFonts w:ascii="Times New Roman" w:hAnsi="Times New Roman"/>
          <w:sz w:val="22"/>
          <w:szCs w:val="22"/>
        </w:rPr>
        <w:t> </w:t>
      </w:r>
    </w:p>
    <w:p w14:paraId="75A50D89" w14:textId="77777777" w:rsidR="00333ABF" w:rsidRPr="003A0563" w:rsidRDefault="00333ABF">
      <w:pPr>
        <w:pStyle w:val="p2"/>
        <w:rPr>
          <w:rFonts w:ascii="Times New Roman" w:hAnsi="Times New Roman"/>
          <w:sz w:val="22"/>
          <w:szCs w:val="22"/>
        </w:rPr>
      </w:pPr>
    </w:p>
    <w:p w14:paraId="58054697" w14:textId="77777777" w:rsidR="00333ABF" w:rsidRPr="003A0563" w:rsidRDefault="00333ABF">
      <w:pPr>
        <w:pStyle w:val="p3"/>
        <w:rPr>
          <w:rFonts w:ascii="Times New Roman" w:hAnsi="Times New Roman"/>
          <w:sz w:val="22"/>
          <w:szCs w:val="22"/>
        </w:rPr>
      </w:pPr>
      <w:r w:rsidRPr="003A0563">
        <w:rPr>
          <w:rStyle w:val="s1"/>
          <w:rFonts w:ascii="Times New Roman" w:hAnsi="Times New Roman"/>
          <w:sz w:val="22"/>
          <w:szCs w:val="22"/>
        </w:rPr>
        <w:t xml:space="preserve">There are several ways that schools and organizations can make education more accessible, equitable, and inclusive. The biggest is often being willing to approach education with new eyes, focusing less on teaching using traditional formats and methods and more on the needs of individual students. Often, public schools teach for the majority; classes and methodology are based on the average student, leaving those who veer from the norm behind. Instead, crafting a curriculum and lesson plan that leaves room for divergence can be the best way to help more students reach success. However, that’s not an easy feat when most teachers have too many students to handle as it is. That’s where incorporating online solutions can help.Through online high school courses, learners who may not excel in a traditional high school setting have an opportunity to achieve academically, working at the pace that is best for them. This can be a great solution for students who are neurodivergent, need to </w:t>
      </w:r>
      <w:hyperlink r:id="rId25" w:history="1">
        <w:r w:rsidRPr="003A0563">
          <w:rPr>
            <w:rStyle w:val="s3"/>
            <w:rFonts w:ascii="Times New Roman" w:hAnsi="Times New Roman"/>
            <w:color w:val="0000FF"/>
            <w:sz w:val="22"/>
            <w:szCs w:val="22"/>
          </w:rPr>
          <w:t>learn English while finishing high school</w:t>
        </w:r>
      </w:hyperlink>
      <w:r w:rsidRPr="003A0563">
        <w:rPr>
          <w:rStyle w:val="s1"/>
          <w:rFonts w:ascii="Times New Roman" w:hAnsi="Times New Roman"/>
          <w:sz w:val="22"/>
          <w:szCs w:val="22"/>
        </w:rPr>
        <w:t>, or those who don’t have the time to focus on school because of family responsibilities. It doesn’t, unfortunately, solve all education inequality. While you can offer online options to your students, there are still many who can’t afford the necessary tools to complete their studies. Access to the internet and a computer, tablet, or smartphone isn’t available to some and they could still find themselves falling behind their peers. Policy changes, access to technology, and more are required to close the gaps and help all students achieve and succeed.</w:t>
      </w:r>
    </w:p>
    <w:p w14:paraId="73523930" w14:textId="77777777" w:rsidR="00333ABF" w:rsidRPr="003A0563" w:rsidRDefault="00333ABF">
      <w:pPr>
        <w:rPr>
          <w:rFonts w:ascii="Times New Roman" w:hAnsi="Times New Roman" w:cs="Times New Roman"/>
          <w:sz w:val="22"/>
          <w:szCs w:val="22"/>
        </w:rPr>
      </w:pPr>
    </w:p>
    <w:p w14:paraId="179E5673" w14:textId="02793A31" w:rsidR="003A0563" w:rsidRPr="003A0563" w:rsidRDefault="003A0563">
      <w:pPr>
        <w:rPr>
          <w:rFonts w:ascii="Times New Roman" w:hAnsi="Times New Roman" w:cs="Times New Roman"/>
          <w:sz w:val="22"/>
          <w:szCs w:val="22"/>
        </w:rPr>
      </w:pPr>
      <w:r w:rsidRPr="003A0563">
        <w:rPr>
          <w:rFonts w:ascii="Times New Roman" w:hAnsi="Times New Roman" w:cs="Times New Roman"/>
          <w:sz w:val="22"/>
          <w:szCs w:val="22"/>
        </w:rPr>
        <w:t>REFERENCES</w:t>
      </w:r>
    </w:p>
    <w:p w14:paraId="239D0BFA" w14:textId="2B7D78CE" w:rsidR="003A0563" w:rsidRPr="003A0563" w:rsidRDefault="003A0563" w:rsidP="003A0563">
      <w:pPr>
        <w:pStyle w:val="ListeParagraf"/>
        <w:numPr>
          <w:ilvl w:val="0"/>
          <w:numId w:val="1"/>
        </w:numPr>
        <w:rPr>
          <w:rFonts w:ascii="Times New Roman" w:hAnsi="Times New Roman" w:cs="Times New Roman"/>
          <w:sz w:val="22"/>
          <w:szCs w:val="22"/>
        </w:rPr>
      </w:pPr>
      <w:hyperlink r:id="rId26" w:history="1">
        <w:r w:rsidRPr="003A0563">
          <w:rPr>
            <w:rStyle w:val="Kpr"/>
            <w:rFonts w:ascii="Times New Roman" w:hAnsi="Times New Roman" w:cs="Times New Roman"/>
            <w:sz w:val="22"/>
            <w:szCs w:val="22"/>
          </w:rPr>
          <w:t>https://files.eric.ed.gov/fulltext/ED628051.pdf</w:t>
        </w:r>
      </w:hyperlink>
    </w:p>
    <w:p w14:paraId="208F13C5" w14:textId="0892E97C" w:rsidR="003A0563" w:rsidRPr="003A0563" w:rsidRDefault="003A0563" w:rsidP="003A0563">
      <w:pPr>
        <w:pStyle w:val="ListeParagraf"/>
        <w:numPr>
          <w:ilvl w:val="0"/>
          <w:numId w:val="1"/>
        </w:numPr>
        <w:rPr>
          <w:rFonts w:ascii="Times New Roman" w:hAnsi="Times New Roman" w:cs="Times New Roman"/>
          <w:sz w:val="22"/>
          <w:szCs w:val="22"/>
        </w:rPr>
      </w:pPr>
      <w:r w:rsidRPr="003A0563">
        <w:rPr>
          <w:rFonts w:ascii="Times New Roman" w:hAnsi="Times New Roman" w:cs="Times New Roman"/>
          <w:sz w:val="22"/>
          <w:szCs w:val="22"/>
        </w:rPr>
        <w:t>https://www.sciencedirect.com/science/article/pii/S2666557322000295</w:t>
      </w:r>
    </w:p>
    <w:sectPr w:rsidR="003A0563" w:rsidRPr="003A05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 w:name="UICTFontTextStyleEmphasizedBody">
    <w:altName w:val="Cambria"/>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C2595"/>
    <w:multiLevelType w:val="hybridMultilevel"/>
    <w:tmpl w:val="FFE46C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689719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ABF"/>
    <w:rsid w:val="001D6498"/>
    <w:rsid w:val="00280E09"/>
    <w:rsid w:val="00333ABF"/>
    <w:rsid w:val="003A0563"/>
    <w:rsid w:val="003B6B8E"/>
    <w:rsid w:val="004B6308"/>
    <w:rsid w:val="00600068"/>
    <w:rsid w:val="00930781"/>
    <w:rsid w:val="00AA5330"/>
    <w:rsid w:val="00E20275"/>
    <w:rsid w:val="00EE67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8626C"/>
  <w15:chartTrackingRefBased/>
  <w15:docId w15:val="{6C957BFF-72EC-4644-B05D-5A991CE32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33A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33A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333ABF"/>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33ABF"/>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33ABF"/>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33AB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33AB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33AB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33AB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33ABF"/>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33ABF"/>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333ABF"/>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33ABF"/>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33ABF"/>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33AB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33AB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33AB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33ABF"/>
    <w:rPr>
      <w:rFonts w:eastAsiaTheme="majorEastAsia" w:cstheme="majorBidi"/>
      <w:color w:val="272727" w:themeColor="text1" w:themeTint="D8"/>
    </w:rPr>
  </w:style>
  <w:style w:type="paragraph" w:styleId="KonuBal">
    <w:name w:val="Title"/>
    <w:basedOn w:val="Normal"/>
    <w:next w:val="Normal"/>
    <w:link w:val="KonuBalChar"/>
    <w:uiPriority w:val="10"/>
    <w:qFormat/>
    <w:rsid w:val="00333A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33AB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33AB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33AB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33AB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33ABF"/>
    <w:rPr>
      <w:i/>
      <w:iCs/>
      <w:color w:val="404040" w:themeColor="text1" w:themeTint="BF"/>
    </w:rPr>
  </w:style>
  <w:style w:type="paragraph" w:styleId="ListeParagraf">
    <w:name w:val="List Paragraph"/>
    <w:basedOn w:val="Normal"/>
    <w:uiPriority w:val="34"/>
    <w:qFormat/>
    <w:rsid w:val="00333ABF"/>
    <w:pPr>
      <w:ind w:left="720"/>
      <w:contextualSpacing/>
    </w:pPr>
  </w:style>
  <w:style w:type="character" w:styleId="GlVurgulama">
    <w:name w:val="Intense Emphasis"/>
    <w:basedOn w:val="VarsaylanParagrafYazTipi"/>
    <w:uiPriority w:val="21"/>
    <w:qFormat/>
    <w:rsid w:val="00333ABF"/>
    <w:rPr>
      <w:i/>
      <w:iCs/>
      <w:color w:val="2F5496" w:themeColor="accent1" w:themeShade="BF"/>
    </w:rPr>
  </w:style>
  <w:style w:type="paragraph" w:styleId="GlAlnt">
    <w:name w:val="Intense Quote"/>
    <w:basedOn w:val="Normal"/>
    <w:next w:val="Normal"/>
    <w:link w:val="GlAlntChar"/>
    <w:uiPriority w:val="30"/>
    <w:qFormat/>
    <w:rsid w:val="00333A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33ABF"/>
    <w:rPr>
      <w:i/>
      <w:iCs/>
      <w:color w:val="2F5496" w:themeColor="accent1" w:themeShade="BF"/>
    </w:rPr>
  </w:style>
  <w:style w:type="character" w:styleId="GlBavuru">
    <w:name w:val="Intense Reference"/>
    <w:basedOn w:val="VarsaylanParagrafYazTipi"/>
    <w:uiPriority w:val="32"/>
    <w:qFormat/>
    <w:rsid w:val="00333ABF"/>
    <w:rPr>
      <w:b/>
      <w:bCs/>
      <w:smallCaps/>
      <w:color w:val="2F5496" w:themeColor="accent1" w:themeShade="BF"/>
      <w:spacing w:val="5"/>
    </w:rPr>
  </w:style>
  <w:style w:type="paragraph" w:customStyle="1" w:styleId="p1">
    <w:name w:val="p1"/>
    <w:basedOn w:val="Normal"/>
    <w:rsid w:val="00333ABF"/>
    <w:pPr>
      <w:spacing w:before="135" w:after="120" w:line="240" w:lineRule="auto"/>
    </w:pPr>
    <w:rPr>
      <w:rFonts w:ascii=".AppleSystemUIFont" w:hAnsi=".AppleSystemUIFont" w:cs="Times New Roman"/>
      <w:kern w:val="0"/>
      <w:sz w:val="26"/>
      <w:szCs w:val="26"/>
      <w14:ligatures w14:val="none"/>
    </w:rPr>
  </w:style>
  <w:style w:type="paragraph" w:customStyle="1" w:styleId="p2">
    <w:name w:val="p2"/>
    <w:basedOn w:val="Normal"/>
    <w:rsid w:val="00333ABF"/>
    <w:pPr>
      <w:spacing w:after="0" w:line="240" w:lineRule="auto"/>
    </w:pPr>
    <w:rPr>
      <w:rFonts w:ascii=".AppleSystemUIFont" w:hAnsi=".AppleSystemUIFont" w:cs="Times New Roman"/>
      <w:kern w:val="0"/>
      <w:sz w:val="26"/>
      <w:szCs w:val="26"/>
      <w14:ligatures w14:val="none"/>
    </w:rPr>
  </w:style>
  <w:style w:type="paragraph" w:customStyle="1" w:styleId="p3">
    <w:name w:val="p3"/>
    <w:basedOn w:val="Normal"/>
    <w:rsid w:val="00333ABF"/>
    <w:pPr>
      <w:spacing w:after="0" w:line="240" w:lineRule="auto"/>
    </w:pPr>
    <w:rPr>
      <w:rFonts w:ascii=".AppleSystemUIFont" w:hAnsi=".AppleSystemUIFont" w:cs="Times New Roman"/>
      <w:kern w:val="0"/>
      <w:sz w:val="26"/>
      <w:szCs w:val="26"/>
      <w14:ligatures w14:val="none"/>
    </w:rPr>
  </w:style>
  <w:style w:type="character" w:customStyle="1" w:styleId="s1">
    <w:name w:val="s1"/>
    <w:basedOn w:val="VarsaylanParagrafYazTipi"/>
    <w:rsid w:val="00333ABF"/>
    <w:rPr>
      <w:rFonts w:ascii="UICTFontTextStyleBody" w:hAnsi="UICTFontTextStyleBody" w:hint="default"/>
      <w:b w:val="0"/>
      <w:bCs w:val="0"/>
      <w:i w:val="0"/>
      <w:iCs w:val="0"/>
      <w:sz w:val="26"/>
      <w:szCs w:val="26"/>
    </w:rPr>
  </w:style>
  <w:style w:type="character" w:customStyle="1" w:styleId="s2">
    <w:name w:val="s2"/>
    <w:basedOn w:val="VarsaylanParagrafYazTipi"/>
    <w:rsid w:val="00333ABF"/>
    <w:rPr>
      <w:rFonts w:ascii="UICTFontTextStyleEmphasizedBody" w:hAnsi="UICTFontTextStyleEmphasizedBody" w:hint="default"/>
      <w:b/>
      <w:bCs/>
      <w:i w:val="0"/>
      <w:iCs w:val="0"/>
      <w:sz w:val="26"/>
      <w:szCs w:val="26"/>
    </w:rPr>
  </w:style>
  <w:style w:type="character" w:customStyle="1" w:styleId="s3">
    <w:name w:val="s3"/>
    <w:basedOn w:val="VarsaylanParagrafYazTipi"/>
    <w:rsid w:val="00333ABF"/>
    <w:rPr>
      <w:rFonts w:ascii="UICTFontTextStyleBody" w:hAnsi="UICTFontTextStyleBody" w:hint="default"/>
      <w:b w:val="0"/>
      <w:bCs w:val="0"/>
      <w:i w:val="0"/>
      <w:iCs w:val="0"/>
      <w:sz w:val="26"/>
      <w:szCs w:val="26"/>
      <w:u w:val="single"/>
    </w:rPr>
  </w:style>
  <w:style w:type="character" w:styleId="Kpr">
    <w:name w:val="Hyperlink"/>
    <w:basedOn w:val="VarsaylanParagrafYazTipi"/>
    <w:uiPriority w:val="99"/>
    <w:unhideWhenUsed/>
    <w:rsid w:val="00333ABF"/>
    <w:rPr>
      <w:color w:val="0000FF"/>
      <w:u w:val="single"/>
    </w:rPr>
  </w:style>
  <w:style w:type="character" w:customStyle="1" w:styleId="apple-converted-space">
    <w:name w:val="apple-converted-space"/>
    <w:basedOn w:val="VarsaylanParagrafYazTipi"/>
    <w:rsid w:val="00333ABF"/>
  </w:style>
  <w:style w:type="character" w:styleId="zmlenmeyenBahsetme">
    <w:name w:val="Unresolved Mention"/>
    <w:basedOn w:val="VarsaylanParagrafYazTipi"/>
    <w:uiPriority w:val="99"/>
    <w:semiHidden/>
    <w:unhideWhenUsed/>
    <w:rsid w:val="003A05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Washington,_D.C." TargetMode="External"/><Relationship Id="rId13" Type="http://schemas.openxmlformats.org/officeDocument/2006/relationships/hyperlink" Target="https://en.wikipedia.org/wiki/Alaska" TargetMode="External"/><Relationship Id="rId18" Type="http://schemas.openxmlformats.org/officeDocument/2006/relationships/hyperlink" Target="https://en.wikipedia.org/wiki/United_States_Minor_Outlying_Islands" TargetMode="External"/><Relationship Id="rId26" Type="http://schemas.openxmlformats.org/officeDocument/2006/relationships/hyperlink" Target="https://files.eric.ed.gov/fulltext/ED628051.pdf" TargetMode="External"/><Relationship Id="rId3" Type="http://schemas.openxmlformats.org/officeDocument/2006/relationships/settings" Target="settings.xml"/><Relationship Id="rId21" Type="http://schemas.openxmlformats.org/officeDocument/2006/relationships/hyperlink" Target="https://en.wikipedia.org/wiki/Megadiverse_country" TargetMode="External"/><Relationship Id="rId7" Type="http://schemas.openxmlformats.org/officeDocument/2006/relationships/hyperlink" Target="https://en.wikipedia.org/wiki/U.S._state" TargetMode="External"/><Relationship Id="rId12" Type="http://schemas.openxmlformats.org/officeDocument/2006/relationships/hyperlink" Target="https://en.wikipedia.org/wiki/Semi-exclave" TargetMode="External"/><Relationship Id="rId17" Type="http://schemas.openxmlformats.org/officeDocument/2006/relationships/hyperlink" Target="https://en.wikipedia.org/wiki/Territories_of_the_United_States" TargetMode="External"/><Relationship Id="rId25" Type="http://schemas.openxmlformats.org/officeDocument/2006/relationships/hyperlink" Target="https://partners.pennfoster.edu/high-school/high-school-diploma-for-english-learners" TargetMode="External"/><Relationship Id="rId2" Type="http://schemas.openxmlformats.org/officeDocument/2006/relationships/styles" Target="styles.xml"/><Relationship Id="rId16" Type="http://schemas.openxmlformats.org/officeDocument/2006/relationships/hyperlink" Target="https://en.wikipedia.org/wiki/Pacific_Ocean" TargetMode="External"/><Relationship Id="rId20" Type="http://schemas.openxmlformats.org/officeDocument/2006/relationships/hyperlink" Target="https://en.wikipedia.org/wiki/Caribbean" TargetMode="External"/><Relationship Id="rId1" Type="http://schemas.openxmlformats.org/officeDocument/2006/relationships/numbering" Target="numbering.xml"/><Relationship Id="rId6" Type="http://schemas.openxmlformats.org/officeDocument/2006/relationships/hyperlink" Target="https://en.wikipedia.org/wiki/Federal_republic" TargetMode="External"/><Relationship Id="rId11" Type="http://schemas.openxmlformats.org/officeDocument/2006/relationships/hyperlink" Target="https://en.wikipedia.org/wiki/Mexico" TargetMode="External"/><Relationship Id="rId24" Type="http://schemas.openxmlformats.org/officeDocument/2006/relationships/hyperlink" Target="https://www.brookings.edu/articles/college-enrollment-gaps-how-academic-preparation-influences-opportunity/" TargetMode="External"/><Relationship Id="rId5" Type="http://schemas.openxmlformats.org/officeDocument/2006/relationships/hyperlink" Target="https://en.wikipedia.org/wiki/North_America" TargetMode="External"/><Relationship Id="rId15" Type="http://schemas.openxmlformats.org/officeDocument/2006/relationships/hyperlink" Target="https://en.wikipedia.org/wiki/Hawaii" TargetMode="External"/><Relationship Id="rId23" Type="http://schemas.openxmlformats.org/officeDocument/2006/relationships/hyperlink" Target="https://en.wikipedia.org/wiki/List_of_countries_and_dependencies_by_population" TargetMode="External"/><Relationship Id="rId28" Type="http://schemas.openxmlformats.org/officeDocument/2006/relationships/theme" Target="theme/theme1.xml"/><Relationship Id="rId10" Type="http://schemas.openxmlformats.org/officeDocument/2006/relationships/hyperlink" Target="https://en.wikipedia.org/wiki/Canada" TargetMode="External"/><Relationship Id="rId19" Type="http://schemas.openxmlformats.org/officeDocument/2006/relationships/hyperlink" Target="https://en.wikipedia.org/wiki/Oceania" TargetMode="External"/><Relationship Id="rId4" Type="http://schemas.openxmlformats.org/officeDocument/2006/relationships/webSettings" Target="webSettings.xml"/><Relationship Id="rId9" Type="http://schemas.openxmlformats.org/officeDocument/2006/relationships/hyperlink" Target="https://en.wikipedia.org/wiki/Contiguous_states" TargetMode="External"/><Relationship Id="rId14" Type="http://schemas.openxmlformats.org/officeDocument/2006/relationships/hyperlink" Target="https://en.wikipedia.org/wiki/Archipelago" TargetMode="External"/><Relationship Id="rId22" Type="http://schemas.openxmlformats.org/officeDocument/2006/relationships/hyperlink" Target="https://en.wikipedia.org/wiki/List_of_countries_and_dependencies_by_area" TargetMode="External"/><Relationship Id="rId27"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770</Words>
  <Characters>4395</Characters>
  <Application>Microsoft Office Word</Application>
  <DocSecurity>0</DocSecurity>
  <Lines>36</Lines>
  <Paragraphs>10</Paragraphs>
  <ScaleCrop>false</ScaleCrop>
  <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Eren Kayar</dc:creator>
  <cp:keywords/>
  <dc:description/>
  <cp:lastModifiedBy>Dilan Keleş</cp:lastModifiedBy>
  <cp:revision>6</cp:revision>
  <dcterms:created xsi:type="dcterms:W3CDTF">2025-12-06T14:13:00Z</dcterms:created>
  <dcterms:modified xsi:type="dcterms:W3CDTF">2025-12-10T07:29:00Z</dcterms:modified>
</cp:coreProperties>
</file>