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Committee: Economic and Social Council (ECOSOC)</w:t>
      </w:r>
    </w:p>
    <w:p w:rsidR="00000000" w:rsidDel="00000000" w:rsidP="00000000" w:rsidRDefault="00000000" w:rsidRPr="00000000" w14:paraId="00000002">
      <w:pPr>
        <w:rPr/>
      </w:pPr>
      <w:r w:rsidDel="00000000" w:rsidR="00000000" w:rsidRPr="00000000">
        <w:rPr>
          <w:rtl w:val="0"/>
        </w:rPr>
        <w:t xml:space="preserve">Country: Federal Republic of Germany.                                                              </w:t>
      </w:r>
    </w:p>
    <w:p w:rsidR="00000000" w:rsidDel="00000000" w:rsidP="00000000" w:rsidRDefault="00000000" w:rsidRPr="00000000" w14:paraId="00000003">
      <w:pPr>
        <w:rPr/>
      </w:pPr>
      <w:r w:rsidDel="00000000" w:rsidR="00000000" w:rsidRPr="00000000">
        <w:rPr>
          <w:rtl w:val="0"/>
        </w:rPr>
        <w:t xml:space="preserve">Topic: Tackling Youth Unemployment and Promoting Sustainable Economic Growth</w:t>
      </w:r>
    </w:p>
    <w:p w:rsidR="00000000" w:rsidDel="00000000" w:rsidP="00000000" w:rsidRDefault="00000000" w:rsidRPr="00000000" w14:paraId="00000004">
      <w:pPr>
        <w:rPr/>
      </w:pPr>
      <w:r w:rsidDel="00000000" w:rsidR="00000000" w:rsidRPr="00000000">
        <w:rPr>
          <w:rtl w:val="0"/>
        </w:rPr>
        <w:t xml:space="preserve">Delegate: Ada Olkun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One of the most important global issue that we are facing is youth unemployment. Statistics from International Labour Organization’s (ILO) show that about 13.6% of the youth was unemployed in 2024, with the peak of unemployment being in 2020 by 17.1% during the COVID-19 pandemic. Despite the decrease, the Federal Republic of Germany is not satisfied with these results. We recognize that youth unemployment is a challenge that limits economic potential. Germany believes that supporting youth through employment is essential to tackling youth unemployment and promoting sustainable economic growth.</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While Germany historically has had the lowest youth unemployment rates across Europe, with statistics showing 3.4% in 2024 and the lowest being 3.1% in 2022 and 2023. Despite the statistics, Germany believes there is always room for improvement, both nationally and internationally. Some notable actions that Germany has taken across the nation are dual vocational training, the EU youth guarantee (no young person under 25 unemployed for more than 3 months goal), and the “National Pact for Career Training and Skilled Manpower Development” agreement.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Beyond its borders, Germany actively contributes to international efforts. Germany’s Federal Ministry for Economic Cooperation and Development (BMZ) supports actions across Africa and Middle East, such as the Innovative Employment Services for Youth (YouMatch) program implemented through Deutsche Gesellschaft für Internationale Zusammenarbeit – GIZ).  Germany also supports employment promotion for young people in rural areas of partner countries via vocational training for agriculture, support for micro-enterprises/start-ups, and connecting youth with job opportunities.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 address the challenges we have been facing, the Federal Republic of Germany proposes the following measures. Firstly, we encourage other countries to adopt adaptable versions of Germany’s dual education model. Secondly, we suggest investing in green and digital jobs. This will also help us develop sustainable economic growth alongside tackling youth unemployment. Lastly, Germany suggests legislating inclusive economic growth policies across-the-board. We remain open to debating and collaborating on additional solutions that the delegates will propose to achieve our shared goal of a future with more inclusivity and sustainability in our economics and are hopeful that we will achieve it together.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References:</w:t>
      </w:r>
    </w:p>
    <w:p w:rsidR="00000000" w:rsidDel="00000000" w:rsidP="00000000" w:rsidRDefault="00000000" w:rsidRPr="00000000" w14:paraId="00000011">
      <w:pPr>
        <w:rPr/>
      </w:pPr>
      <w:hyperlink r:id="rId6">
        <w:r w:rsidDel="00000000" w:rsidR="00000000" w:rsidRPr="00000000">
          <w:rPr>
            <w:color w:val="1155cc"/>
            <w:u w:val="single"/>
            <w:rtl w:val="0"/>
          </w:rPr>
          <w:t xml:space="preserve">https://data.worldbank.org/indicator/SL.UEM.1524.ZS</w:t>
        </w:r>
      </w:hyperlink>
      <w:r w:rsidDel="00000000" w:rsidR="00000000" w:rsidRPr="00000000">
        <w:rPr>
          <w:rtl w:val="0"/>
        </w:rPr>
      </w:r>
    </w:p>
    <w:p w:rsidR="00000000" w:rsidDel="00000000" w:rsidP="00000000" w:rsidRDefault="00000000" w:rsidRPr="00000000" w14:paraId="00000012">
      <w:pPr>
        <w:rPr/>
      </w:pPr>
      <w:hyperlink r:id="rId7">
        <w:r w:rsidDel="00000000" w:rsidR="00000000" w:rsidRPr="00000000">
          <w:rPr>
            <w:color w:val="1155cc"/>
            <w:u w:val="single"/>
            <w:rtl w:val="0"/>
          </w:rPr>
          <w:t xml:space="preserve">https://ilostat.ilo.org/data/country-profiles/deu/</w:t>
        </w:r>
      </w:hyperlink>
      <w:r w:rsidDel="00000000" w:rsidR="00000000" w:rsidRPr="00000000">
        <w:rPr>
          <w:rtl w:val="0"/>
        </w:rPr>
      </w:r>
    </w:p>
    <w:p w:rsidR="00000000" w:rsidDel="00000000" w:rsidP="00000000" w:rsidRDefault="00000000" w:rsidRPr="00000000" w14:paraId="00000013">
      <w:pPr>
        <w:rPr/>
      </w:pPr>
      <w:hyperlink r:id="rId8">
        <w:r w:rsidDel="00000000" w:rsidR="00000000" w:rsidRPr="00000000">
          <w:rPr>
            <w:color w:val="1155cc"/>
            <w:u w:val="single"/>
            <w:rtl w:val="0"/>
          </w:rPr>
          <w:t xml:space="preserve">https://www.bundeswirtschaftsministerium.de/Redaktion/EN/Dossier/vocational-training-and-work</w:t>
        </w:r>
      </w:hyperlink>
      <w:r w:rsidDel="00000000" w:rsidR="00000000" w:rsidRPr="00000000">
        <w:rPr>
          <w:rtl w:val="0"/>
        </w:rPr>
      </w:r>
    </w:p>
    <w:p w:rsidR="00000000" w:rsidDel="00000000" w:rsidP="00000000" w:rsidRDefault="00000000" w:rsidRPr="00000000" w14:paraId="00000014">
      <w:pPr>
        <w:rPr/>
      </w:pPr>
      <w:hyperlink r:id="rId9">
        <w:r w:rsidDel="00000000" w:rsidR="00000000" w:rsidRPr="00000000">
          <w:rPr>
            <w:color w:val="1155cc"/>
            <w:u w:val="single"/>
            <w:rtl w:val="0"/>
          </w:rPr>
          <w:t xml:space="preserve">https://eur-lex.europa.eu/EN/legal-content/summary/youth-guarantee.html</w:t>
        </w:r>
      </w:hyperlink>
      <w:r w:rsidDel="00000000" w:rsidR="00000000" w:rsidRPr="00000000">
        <w:rPr>
          <w:rtl w:val="0"/>
        </w:rPr>
      </w:r>
    </w:p>
    <w:p w:rsidR="00000000" w:rsidDel="00000000" w:rsidP="00000000" w:rsidRDefault="00000000" w:rsidRPr="00000000" w14:paraId="00000015">
      <w:pPr>
        <w:rPr/>
      </w:pPr>
      <w:hyperlink r:id="rId10">
        <w:r w:rsidDel="00000000" w:rsidR="00000000" w:rsidRPr="00000000">
          <w:rPr>
            <w:color w:val="1155cc"/>
            <w:u w:val="single"/>
            <w:rtl w:val="0"/>
          </w:rPr>
          <w:t xml:space="preserve">https://www.bibb.de/en/146153.php</w:t>
        </w:r>
      </w:hyperlink>
      <w:r w:rsidDel="00000000" w:rsidR="00000000" w:rsidRPr="00000000">
        <w:rPr>
          <w:rtl w:val="0"/>
        </w:rPr>
      </w:r>
    </w:p>
    <w:p w:rsidR="00000000" w:rsidDel="00000000" w:rsidP="00000000" w:rsidRDefault="00000000" w:rsidRPr="00000000" w14:paraId="00000016">
      <w:pPr>
        <w:rPr/>
      </w:pPr>
      <w:hyperlink r:id="rId11">
        <w:r w:rsidDel="00000000" w:rsidR="00000000" w:rsidRPr="00000000">
          <w:rPr>
            <w:color w:val="1155cc"/>
            <w:u w:val="single"/>
            <w:rtl w:val="0"/>
          </w:rPr>
          <w:t xml:space="preserve">https://www.giz.de/en/projects/global-initiative-innovative-employment-services-youth</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ind w:left="8640" w:firstLine="0"/>
      <w:rPr/>
    </w:pPr>
    <w:r w:rsidDel="00000000" w:rsidR="00000000" w:rsidRPr="00000000">
      <w:rPr/>
      <w:drawing>
        <wp:inline distB="114300" distT="114300" distL="114300" distR="114300">
          <wp:extent cx="968596" cy="58115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8596" cy="581157"/>
                  </a:xfrm>
                  <a:prstGeom prst="rect"/>
                  <a:ln/>
                </pic:spPr>
              </pic:pic>
            </a:graphicData>
          </a:graphic>
        </wp:inline>
      </w:drawing>
    </w:r>
    <w:r w:rsidDel="00000000" w:rsidR="00000000" w:rsidRPr="00000000">
      <w:rPr/>
      <w:drawing>
        <wp:inline distB="114300" distT="114300" distL="114300" distR="114300">
          <wp:extent cx="1073290" cy="813813"/>
          <wp:effectExtent b="0" l="0" r="0" t="0"/>
          <wp:docPr id="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073290" cy="8138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iz.de/en/projects/global-initiative-innovative-employment-services-youth" TargetMode="External"/><Relationship Id="rId10" Type="http://schemas.openxmlformats.org/officeDocument/2006/relationships/hyperlink" Target="https://www.bibb.de/en/146153.php"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lex.europa.eu/EN/legal-content/summary/youth-guarantee.html" TargetMode="External"/><Relationship Id="rId5" Type="http://schemas.openxmlformats.org/officeDocument/2006/relationships/styles" Target="styles.xml"/><Relationship Id="rId6" Type="http://schemas.openxmlformats.org/officeDocument/2006/relationships/hyperlink" Target="https://data.worldbank.org/indicator/SL.UEM.1524.ZS" TargetMode="External"/><Relationship Id="rId7" Type="http://schemas.openxmlformats.org/officeDocument/2006/relationships/hyperlink" Target="https://ilostat.ilo.org/data/country-profiles/deu/" TargetMode="External"/><Relationship Id="rId8" Type="http://schemas.openxmlformats.org/officeDocument/2006/relationships/hyperlink" Target="https://www.bundeswirtschaftsministerium.de/Redaktion/EN/Dossier/vocational-training-and-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