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0317" w14:textId="77777777" w:rsidR="00082F3E" w:rsidRPr="00082F3E" w:rsidRDefault="00082F3E" w:rsidP="00082F3E">
      <w:pPr>
        <w:rPr>
          <w:rFonts w:ascii="Times New Roman" w:hAnsi="Times New Roman" w:cs="Times New Roman"/>
          <w:b/>
          <w:bCs/>
          <w:sz w:val="24"/>
          <w:szCs w:val="24"/>
        </w:rPr>
      </w:pPr>
      <w:r w:rsidRPr="00082F3E">
        <w:rPr>
          <w:rFonts w:ascii="Times New Roman" w:hAnsi="Times New Roman" w:cs="Times New Roman"/>
          <w:b/>
          <w:bCs/>
          <w:sz w:val="24"/>
          <w:szCs w:val="24"/>
        </w:rPr>
        <w:t>Committee: Special Political and Decolonization Committee (SPECPOL)</w:t>
      </w:r>
      <w:r w:rsidRPr="00082F3E">
        <w:rPr>
          <w:rFonts w:ascii="Times New Roman" w:hAnsi="Times New Roman" w:cs="Times New Roman"/>
          <w:b/>
          <w:bCs/>
          <w:sz w:val="24"/>
          <w:szCs w:val="24"/>
        </w:rPr>
        <w:br/>
        <w:t>Agenda Item: Reassessing the Political Status of Disputed and Non-Self-Governing Territories</w:t>
      </w:r>
      <w:r w:rsidRPr="00082F3E">
        <w:rPr>
          <w:rFonts w:ascii="Times New Roman" w:hAnsi="Times New Roman" w:cs="Times New Roman"/>
          <w:b/>
          <w:bCs/>
          <w:sz w:val="24"/>
          <w:szCs w:val="24"/>
        </w:rPr>
        <w:br/>
        <w:t>Country: Islamic Republic of Pakistan</w:t>
      </w:r>
    </w:p>
    <w:p w14:paraId="3215ADF1" w14:textId="77777777" w:rsidR="00B44F38" w:rsidRDefault="00B44F38" w:rsidP="00082F3E">
      <w:pPr>
        <w:rPr>
          <w:rFonts w:ascii="Times New Roman" w:hAnsi="Times New Roman" w:cs="Times New Roman"/>
          <w:sz w:val="24"/>
          <w:szCs w:val="24"/>
        </w:rPr>
      </w:pPr>
      <w:r w:rsidRPr="00B44F38">
        <w:rPr>
          <w:rFonts w:ascii="Times New Roman" w:hAnsi="Times New Roman" w:cs="Times New Roman"/>
          <w:sz w:val="24"/>
          <w:szCs w:val="24"/>
        </w:rPr>
        <w:t>Globalisation has made millions of people continue living under colonial rule. They may have no idea where they fit politically or economically within that territory but are not able to fully realise their political, social and economic rights (1). The failure to resolve these territorial disputes has created large-scale problems in human history, such as extended conflict, displacing entire groups of people, relying economically on outside countries, and ongoing, systematic violations of human rights. These problems continue to exist today in many of the same areas that lost their territorial integrity because of the incorrect/invalid political relationship of one country's territory to another (2). In addition to these human rights violations and unstable territories, historical examples have shown how unresolved territorial disputes have created an impasse between nations over international law, militarisation of the world, humanitarian crises worldwide, and the loss of all trust in the international system (3). The ongoing problems associated with unresolved territorial disputes create uncertainty for all nations that do not have a resolution to the contested territory dispute, which creates numerous potential consequences (4). Therefore, Pakistan believes that self-determination is a principle that applies to all nations and is therefore an important way to resolve any dispute. Self-determination, as a principle, is the primary method of resolving this issue and is also the defining factor of how the relationship between peoples and nations can be defined.</w:t>
      </w:r>
    </w:p>
    <w:p w14:paraId="2F741BD7" w14:textId="6393151E" w:rsidR="00082F3E" w:rsidRPr="00082F3E" w:rsidRDefault="00B44F38" w:rsidP="00082F3E">
      <w:pPr>
        <w:rPr>
          <w:rFonts w:ascii="Times New Roman" w:hAnsi="Times New Roman" w:cs="Times New Roman"/>
          <w:sz w:val="24"/>
          <w:szCs w:val="24"/>
        </w:rPr>
      </w:pPr>
      <w:r w:rsidRPr="00B44F38">
        <w:rPr>
          <w:rFonts w:ascii="Times New Roman" w:hAnsi="Times New Roman" w:cs="Times New Roman"/>
          <w:sz w:val="24"/>
          <w:szCs w:val="24"/>
        </w:rPr>
        <w:t>The International Community is addressing the Issue through various mechanisms including Legal , Institutional and Humanitarian Means. The principle of Self-Determination was initially set forth in the UN Charter and subsequently was reinforced through the passage of General Assembly Resolutions 1514 (XV) and 1541 (XV) , 1514 (XV) states colonialism of All Forms Cannot be continued and Must End Immediately and Unconditionally; whereas 1541 (XV) describes the Criteria for the Determination of the Political Status of Non-Self-Governing Territories and the Means for Determining Such Statuses. (6) 2625 (XXV) states that it is Every Nation's Duty to Respect the Principles of Equal Rights and Self-Determination of All Peoples. (7) Additionally, the establishment of the Special Committee for the Purposes of Decolonization (C-24) Allows Us to Continue to Monitor Non-Self-Governing Territories and Hold Discussions with Their Administering Nations. (8) Independent Organizations Including Amnesty International and Human Rights Watch Provide An Additional Global Support System for Victims of Human Rights Abuses by Documenting Violations, Supporting The Survivors and Advocating for Global Awareness Through Reports and Campaigns.</w:t>
      </w:r>
      <w:r w:rsidR="00082F3E" w:rsidRPr="00082F3E">
        <w:rPr>
          <w:rFonts w:ascii="Times New Roman" w:hAnsi="Times New Roman" w:cs="Times New Roman"/>
          <w:sz w:val="24"/>
          <w:szCs w:val="24"/>
        </w:rPr>
        <w:t>The international conferences, the UN missions to investigate and develop funds and activities to assist in rebuilding the peace, as well as aid from United Nations Development Programme (UNDP) to resolve the political and social-economic factors related to the disputes of these areas of the world, have all made contributions towards addressing both the political and socio-economic aspects of these disputes, although the level of implementation and enforcement continues to be uneven (9).</w:t>
      </w:r>
    </w:p>
    <w:p w14:paraId="638A29C1" w14:textId="0B9DCAAF" w:rsidR="00082F3E" w:rsidRPr="00082F3E" w:rsidRDefault="00B44F38" w:rsidP="00082F3E">
      <w:pPr>
        <w:rPr>
          <w:rFonts w:ascii="Times New Roman" w:hAnsi="Times New Roman" w:cs="Times New Roman"/>
          <w:sz w:val="24"/>
          <w:szCs w:val="24"/>
        </w:rPr>
      </w:pPr>
      <w:r w:rsidRPr="00B44F38">
        <w:rPr>
          <w:rFonts w:ascii="Times New Roman" w:hAnsi="Times New Roman" w:cs="Times New Roman"/>
          <w:sz w:val="24"/>
          <w:szCs w:val="24"/>
        </w:rPr>
        <w:t xml:space="preserve">Pakistan firmly believes that a sustainable and equitable solution must be reached through inclusive, transparent and internationally monitored processes that best reflect the views of the communities affected. Therefore, Pakistan supports the establishment of UN-supervised referendums; inclusive consultation by a wide range of political parties on their political </w:t>
      </w:r>
      <w:r w:rsidRPr="00B44F38">
        <w:rPr>
          <w:rFonts w:ascii="Times New Roman" w:hAnsi="Times New Roman" w:cs="Times New Roman"/>
          <w:sz w:val="24"/>
          <w:szCs w:val="24"/>
        </w:rPr>
        <w:lastRenderedPageBreak/>
        <w:t>status; and the establishment of confidence building measures as legitimate options to establish a region's political status (10). In addition, Pakistan continues to oppose the use of any unilateral actions that attempt to change the political status of a region through the forced annexation of territory, changes to the demographic make-up of a region, or the excessive use of military force (11). In addition, Pakistan is committed to increasing the level of UN international oversight on these issues by increasing the authority of Special Envoys, enhancing the effectiveness of human rights monitoring mechanisms, and establishing stronger cooperative partnerships with Non-Governmental Organisations (12). Pakistan also advocates that support be provided to assist in the development of economic and administrative capabilities of those regions wishing to achieve self-governance, to promote the long-term and stable development of a region's governance and stability (13).</w:t>
      </w:r>
    </w:p>
    <w:p w14:paraId="203838AD" w14:textId="77777777" w:rsidR="00B44F38" w:rsidRPr="00B44F38" w:rsidRDefault="00B44F38" w:rsidP="00082F3E">
      <w:pPr>
        <w:rPr>
          <w:rFonts w:ascii="Times New Roman" w:hAnsi="Times New Roman" w:cs="Times New Roman"/>
          <w:sz w:val="24"/>
          <w:szCs w:val="24"/>
        </w:rPr>
      </w:pPr>
      <w:r w:rsidRPr="00B44F38">
        <w:rPr>
          <w:rFonts w:ascii="Times New Roman" w:hAnsi="Times New Roman" w:cs="Times New Roman"/>
          <w:sz w:val="24"/>
          <w:szCs w:val="24"/>
        </w:rPr>
        <w:t>As an Islamic Republic, Pakistan affirms its belief in individual human being's right to self-determination, sovereignty &amp; dignity. The ongoing disputes over the lives of people living within non-self-governing territories are preventing any potential claims to international peace due to the fact that they negatively affect the world order. Therefore, Pakistan requests UN member states and the UN as an institution, to create actual solutions instead of symbolic solutions; including an equal and non-discriminatory application of the rights and actions of all those impacted by these forms of colonialism. If the international community meets its obligations, supports the observance of international law &amp; works together to address its international obligations, it will accelerate decolonisation and create sustainable equitable solutions for these territories.</w:t>
      </w:r>
    </w:p>
    <w:p w14:paraId="53025C74" w14:textId="6627CEDF" w:rsidR="00082F3E" w:rsidRPr="00082F3E" w:rsidRDefault="00082F3E" w:rsidP="00082F3E">
      <w:pPr>
        <w:rPr>
          <w:rFonts w:ascii="Times New Roman" w:hAnsi="Times New Roman" w:cs="Times New Roman"/>
          <w:b/>
          <w:bCs/>
          <w:sz w:val="24"/>
          <w:szCs w:val="24"/>
        </w:rPr>
      </w:pPr>
      <w:r w:rsidRPr="00082F3E">
        <w:rPr>
          <w:rFonts w:ascii="Times New Roman" w:hAnsi="Times New Roman" w:cs="Times New Roman"/>
          <w:b/>
          <w:bCs/>
          <w:sz w:val="24"/>
          <w:szCs w:val="24"/>
        </w:rPr>
        <w:t>References</w:t>
      </w:r>
    </w:p>
    <w:p w14:paraId="1CA1B0AC"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United Nations Charter, Article 1(2).</w:t>
      </w:r>
    </w:p>
    <w:p w14:paraId="02038ADC"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United Nations, Declaration on the Granting of Independence to Colonial Countries and Peoples, UNGA Resolution 1514 (XV), 1960.</w:t>
      </w:r>
    </w:p>
    <w:p w14:paraId="5CF2BB43"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United Nations General Assembly, Resolution 1541 (XV), 1960.</w:t>
      </w:r>
    </w:p>
    <w:p w14:paraId="6706F306"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United Nations General Assembly, Resolution 2625 (XXV), Declaration on Principles of International Law, 1970.</w:t>
      </w:r>
    </w:p>
    <w:p w14:paraId="10A61D6D"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United Nations General Assembly, Resolution 1654 (XVI), 1961.</w:t>
      </w:r>
    </w:p>
    <w:p w14:paraId="4FC395D2"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United Nations, International Covenant on Civil and Political Rights, 1966.</w:t>
      </w:r>
    </w:p>
    <w:p w14:paraId="1D576E1C"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United Nations, Special Committee on Decolonization (C-24), Mandate and Reports.</w:t>
      </w:r>
    </w:p>
    <w:p w14:paraId="3E27F353"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Amnesty International, Annual Reports on Human Rights in Disputed Territories.</w:t>
      </w:r>
    </w:p>
    <w:p w14:paraId="1DAE981D"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Human Rights Watch, World Reports on Self-Determination and Occupation.</w:t>
      </w:r>
    </w:p>
    <w:p w14:paraId="4E0E45A9"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United Nations Development Programme (UNDP), Governance in Conflict and Post-Colonial Settings.</w:t>
      </w:r>
    </w:p>
    <w:p w14:paraId="149335EB"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United Nations Peacebuilding Commission, Policy Briefs on Territorial Disputes.</w:t>
      </w:r>
    </w:p>
    <w:p w14:paraId="6E8843D2"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International Court of Justice, Advisory Opinions on Self-Determination.</w:t>
      </w:r>
    </w:p>
    <w:p w14:paraId="7C9ECC1E" w14:textId="77777777" w:rsidR="00082F3E" w:rsidRPr="00082F3E" w:rsidRDefault="00082F3E" w:rsidP="00082F3E">
      <w:pPr>
        <w:numPr>
          <w:ilvl w:val="0"/>
          <w:numId w:val="1"/>
        </w:numPr>
        <w:rPr>
          <w:rFonts w:ascii="Times New Roman" w:hAnsi="Times New Roman" w:cs="Times New Roman"/>
          <w:sz w:val="24"/>
          <w:szCs w:val="24"/>
        </w:rPr>
      </w:pPr>
      <w:r w:rsidRPr="00082F3E">
        <w:rPr>
          <w:rFonts w:ascii="Times New Roman" w:hAnsi="Times New Roman" w:cs="Times New Roman"/>
          <w:sz w:val="24"/>
          <w:szCs w:val="24"/>
        </w:rPr>
        <w:t>United Nations Office of the High Commissioner for Human Rights (OHCHR), Reports on Non-Self-Governing Territories.</w:t>
      </w:r>
    </w:p>
    <w:p w14:paraId="0FB8A5F1" w14:textId="77777777" w:rsidR="002C507F" w:rsidRDefault="002C507F"/>
    <w:sectPr w:rsidR="002C5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40477"/>
    <w:multiLevelType w:val="multilevel"/>
    <w:tmpl w:val="F050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606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3E"/>
    <w:rsid w:val="00082F3E"/>
    <w:rsid w:val="000E717A"/>
    <w:rsid w:val="0027745E"/>
    <w:rsid w:val="002C507F"/>
    <w:rsid w:val="00B44F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BB61"/>
  <w15:chartTrackingRefBased/>
  <w15:docId w15:val="{A644D5B6-CC00-4CFA-9AEA-420B7136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F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F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F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F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F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F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F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F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F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F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F3E"/>
    <w:rPr>
      <w:rFonts w:eastAsiaTheme="majorEastAsia" w:cstheme="majorBidi"/>
      <w:color w:val="272727" w:themeColor="text1" w:themeTint="D8"/>
    </w:rPr>
  </w:style>
  <w:style w:type="paragraph" w:styleId="Title">
    <w:name w:val="Title"/>
    <w:basedOn w:val="Normal"/>
    <w:next w:val="Normal"/>
    <w:link w:val="TitleChar"/>
    <w:uiPriority w:val="10"/>
    <w:qFormat/>
    <w:rsid w:val="00082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F3E"/>
    <w:pPr>
      <w:spacing w:before="160"/>
      <w:jc w:val="center"/>
    </w:pPr>
    <w:rPr>
      <w:i/>
      <w:iCs/>
      <w:color w:val="404040" w:themeColor="text1" w:themeTint="BF"/>
    </w:rPr>
  </w:style>
  <w:style w:type="character" w:customStyle="1" w:styleId="QuoteChar">
    <w:name w:val="Quote Char"/>
    <w:basedOn w:val="DefaultParagraphFont"/>
    <w:link w:val="Quote"/>
    <w:uiPriority w:val="29"/>
    <w:rsid w:val="00082F3E"/>
    <w:rPr>
      <w:i/>
      <w:iCs/>
      <w:color w:val="404040" w:themeColor="text1" w:themeTint="BF"/>
    </w:rPr>
  </w:style>
  <w:style w:type="paragraph" w:styleId="ListParagraph">
    <w:name w:val="List Paragraph"/>
    <w:basedOn w:val="Normal"/>
    <w:uiPriority w:val="34"/>
    <w:qFormat/>
    <w:rsid w:val="00082F3E"/>
    <w:pPr>
      <w:ind w:left="720"/>
      <w:contextualSpacing/>
    </w:pPr>
  </w:style>
  <w:style w:type="character" w:styleId="IntenseEmphasis">
    <w:name w:val="Intense Emphasis"/>
    <w:basedOn w:val="DefaultParagraphFont"/>
    <w:uiPriority w:val="21"/>
    <w:qFormat/>
    <w:rsid w:val="00082F3E"/>
    <w:rPr>
      <w:i/>
      <w:iCs/>
      <w:color w:val="2F5496" w:themeColor="accent1" w:themeShade="BF"/>
    </w:rPr>
  </w:style>
  <w:style w:type="paragraph" w:styleId="IntenseQuote">
    <w:name w:val="Intense Quote"/>
    <w:basedOn w:val="Normal"/>
    <w:next w:val="Normal"/>
    <w:link w:val="IntenseQuoteChar"/>
    <w:uiPriority w:val="30"/>
    <w:qFormat/>
    <w:rsid w:val="00082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F3E"/>
    <w:rPr>
      <w:i/>
      <w:iCs/>
      <w:color w:val="2F5496" w:themeColor="accent1" w:themeShade="BF"/>
    </w:rPr>
  </w:style>
  <w:style w:type="character" w:styleId="IntenseReference">
    <w:name w:val="Intense Reference"/>
    <w:basedOn w:val="DefaultParagraphFont"/>
    <w:uiPriority w:val="32"/>
    <w:qFormat/>
    <w:rsid w:val="00082F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1017</Words>
  <Characters>5797</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SEVİM İZEM PİLAVOĞLU</dc:creator>
  <cp:keywords/>
  <dc:description/>
  <cp:lastModifiedBy>SEVİM İZEM PİLAVOĞLU</cp:lastModifiedBy>
  <cp:revision>2</cp:revision>
  <dcterms:created xsi:type="dcterms:W3CDTF">2025-12-24T15:47:00Z</dcterms:created>
  <dcterms:modified xsi:type="dcterms:W3CDTF">2025-12-24T16:10:00Z</dcterms:modified>
</cp:coreProperties>
</file>