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Country:</w:t>
      </w:r>
      <w:r w:rsidDel="00000000" w:rsidR="00000000" w:rsidRPr="00000000">
        <w:rPr>
          <w:rFonts w:ascii="Times New Roman" w:cs="Times New Roman" w:eastAsia="Times New Roman" w:hAnsi="Times New Roman"/>
          <w:sz w:val="24"/>
          <w:szCs w:val="24"/>
          <w:rtl w:val="0"/>
        </w:rPr>
        <w:t xml:space="preserve"> The Kingdom of Spain</w:t>
      </w:r>
      <w:r w:rsidDel="00000000" w:rsidR="00000000" w:rsidRPr="00000000">
        <w:drawing>
          <wp:anchor allowOverlap="1" behindDoc="0" distB="0" distT="0" distL="0" distR="0" hidden="0" layoutInCell="1" locked="0" relativeHeight="0" simplePos="0">
            <wp:simplePos x="0" y="0"/>
            <wp:positionH relativeFrom="column">
              <wp:posOffset>4038600</wp:posOffset>
            </wp:positionH>
            <wp:positionV relativeFrom="paragraph">
              <wp:posOffset>0</wp:posOffset>
            </wp:positionV>
            <wp:extent cx="2262188" cy="150522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62188" cy="1505225"/>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Committee:</w:t>
      </w:r>
      <w:r w:rsidDel="00000000" w:rsidR="00000000" w:rsidRPr="00000000">
        <w:rPr>
          <w:rFonts w:ascii="Times New Roman" w:cs="Times New Roman" w:eastAsia="Times New Roman" w:hAnsi="Times New Roman"/>
          <w:sz w:val="24"/>
          <w:szCs w:val="24"/>
          <w:rtl w:val="0"/>
        </w:rPr>
        <w:t xml:space="preserve"> SPECPOL (Special Political and Decolonization Committee)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Topic:</w:t>
      </w:r>
      <w:r w:rsidDel="00000000" w:rsidR="00000000" w:rsidRPr="00000000">
        <w:rPr>
          <w:rFonts w:ascii="Times New Roman" w:cs="Times New Roman" w:eastAsia="Times New Roman" w:hAnsi="Times New Roman"/>
          <w:sz w:val="24"/>
          <w:szCs w:val="24"/>
          <w:rtl w:val="0"/>
        </w:rPr>
        <w:t xml:space="preserve"> Reassessing the Political Status of Disputed and Non-Self-Governing Territories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Kingdom of Spain recognizes the importance of the Special Political and Decolonization Committee in addressing the political status of Non-Self-Governing and disputed territories.Decolonization is essential to addressing the historical injustices created by colonial rule, which denied peoples the right to govern themselves and caused long-term political and social instability. Many territorial disputes result from unresolved colonial arrangements. This makes decolonization a necessary step for achieving lasting peace. While we strongly support decolonization, we emphasize that it must be conducted in full compliance with international law and the principle of territorial integrity.</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Gibraltar, captured by Britain in 1713 under the Treaty of Utrecht, remains a British Overseas Territory at the Mediterranean entrance.The Treaty of Utrecht of 1713 granted the United Kingdom limited rights, which, according to us, do not guarantee permanent sovereignty.According to us, self-determination in Gibraltar is not appropriate, as the population does not qualify as an indigenous people under international legal standards. Referenda that do not have United Nations supervision do not have legal force. The Kingdom of Spain stresses that resolving the Gibraltar question must occur through negotiations between Spain and the United Kingdom, in line with relevant UN General Assembly resolutions.</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topic of Western Sahara, Spain continues to support a fair, lasting, and mutually agreeable political solution under the guidance of the United Nations. We believe Morocco’s 2007 Autonomy Initiative is the most serious, realistic, and credible proposal for settling this dispute. We also highlight how important regional stability is, as well as the vital role of the MINURSO mission in keeping the peace throughout this process. Spain is dedicated to open discussion and working with others. We urge the Special Committee to focus on the principle of territorial integrity in cases of 'colonial enclaves'. We also encourage support for bilateral agreements that honor international law and the historical rights of sovereign states.</w:t>
      </w:r>
    </w:p>
    <w:p w:rsidR="00000000" w:rsidDel="00000000" w:rsidP="00000000" w:rsidRDefault="00000000" w:rsidRPr="00000000" w14:paraId="0000000C">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0F">
      <w:pPr>
        <w:spacing w:after="120" w:before="12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https://en.wikipedia.org/wiki/Gibraltar</w:t>
        </w:r>
      </w:hyperlink>
      <w:r w:rsidDel="00000000" w:rsidR="00000000" w:rsidRPr="00000000">
        <w:rPr>
          <w:rtl w:val="0"/>
        </w:rPr>
      </w:r>
    </w:p>
    <w:p w:rsidR="00000000" w:rsidDel="00000000" w:rsidP="00000000" w:rsidRDefault="00000000" w:rsidRPr="00000000" w14:paraId="00000010">
      <w:pPr>
        <w:spacing w:after="120" w:before="12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https://www.un.org/dppa/decolonization/en/nsgt/gibraltar</w:t>
        </w:r>
      </w:hyperlink>
      <w:r w:rsidDel="00000000" w:rsidR="00000000" w:rsidRPr="00000000">
        <w:rPr>
          <w:rtl w:val="0"/>
        </w:rPr>
      </w:r>
    </w:p>
    <w:p w:rsidR="00000000" w:rsidDel="00000000" w:rsidP="00000000" w:rsidRDefault="00000000" w:rsidRPr="00000000" w14:paraId="00000011">
      <w:pPr>
        <w:spacing w:after="120" w:before="120" w:lineRule="auto"/>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https://www.exteriores.gob.es/en/PoliticaExterior/Paginas/Gibraltar.aspx</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spacing w:after="120" w:before="120" w:lineRule="auto"/>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xteriores.gob.es/en/PoliticaExterior/Paginas/Gibraltar.aspx"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en.wikipedia.org/wiki/Gibraltar" TargetMode="External"/><Relationship Id="rId8" Type="http://schemas.openxmlformats.org/officeDocument/2006/relationships/hyperlink" Target="https://www.un.org/dppa/decolonization/en/nsgt/gibral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