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4EEBC7" wp14:paraId="0C50B601" wp14:textId="1591AC39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Country: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Argentina</w:t>
      </w:r>
      <w:r>
        <w:br/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Committee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: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The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Food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and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Agriculture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Organization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 (FAO)</w:t>
      </w:r>
      <w:r>
        <w:br/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>Topic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tr-TR"/>
        </w:rPr>
        <w:t xml:space="preserve">: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Strategies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for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Advancing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Sustainable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Agricultural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Practices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in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the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Green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</w:t>
      </w:r>
      <w:r w:rsidRPr="1F4EEBC7" w:rsidR="24E27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Transition</w:t>
      </w:r>
      <w:r>
        <w:br/>
      </w:r>
      <w:r>
        <w:br/>
      </w:r>
      <w:r>
        <w:br/>
      </w:r>
      <w:proofErr w:type="spellStart"/>
      <w:r w:rsidRPr="1F4EEBC7" w:rsidR="0BD114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>Position</w:t>
      </w:r>
      <w:proofErr w:type="spellEnd"/>
      <w:r w:rsidRPr="1F4EEBC7" w:rsidR="0BD114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tr-TR"/>
        </w:rPr>
        <w:t xml:space="preserve"> :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What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Republic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have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say is as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follows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: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order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achieve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higher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productivity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agriculture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transition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modern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farming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methods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must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be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encouraged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are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also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supportive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shifting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green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minimizing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global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impact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consumption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Africa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which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holds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16% of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world's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agricultural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land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modern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farming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techniques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are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not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being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implemented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is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clear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Africa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will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not be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able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break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free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from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this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vicious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cycle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without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significant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incentives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energy-poor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African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region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green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has yet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be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prioritized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cannot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ignore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suffering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these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regions</w:t>
      </w:r>
      <w:proofErr w:type="spellEnd"/>
      <w:r w:rsidRPr="1F4EEBC7" w:rsidR="409D26D5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735ECE17" wp14:paraId="5D5AE3DB" wp14:textId="6570360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</w:p>
    <w:p xmlns:wp14="http://schemas.microsoft.com/office/word/2010/wordml" w:rsidP="1F4EEBC7" wp14:paraId="4DE7774B" wp14:textId="05382238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proofErr w:type="spellStart"/>
      <w:r w:rsidRPr="1F4EEBC7" w:rsidR="029721EA">
        <w:rPr>
          <w:rFonts w:ascii="Arial" w:hAnsi="Arial" w:eastAsia="Arial" w:cs="Arial"/>
          <w:noProof w:val="0"/>
          <w:sz w:val="20"/>
          <w:szCs w:val="20"/>
          <w:lang w:val="tr-TR"/>
        </w:rPr>
        <w:t>Relation</w:t>
      </w:r>
      <w:proofErr w:type="spellEnd"/>
      <w:r w:rsidRPr="1F4EEBC7" w:rsidR="029721E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: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Based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on World Bank data,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Republic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ranks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14th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agricultural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exports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employment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rate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agricultural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sector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our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country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is 7.2%,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according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World Bank data.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addition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as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government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have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set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ambitious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targets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renewable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country's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National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Plan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envisions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20% of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country's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will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come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from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renewable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sources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2025.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Furthermore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as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Republic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have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set 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goal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achieve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30%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renewable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2025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35%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2030.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government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has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also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developed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National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Efficiency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Plan,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which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aims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reduce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consumption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promote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efficiency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plan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includes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measures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such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building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codes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appliance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standards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financial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incentives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efficiency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projects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1F4EEBC7" wp14:paraId="7365C939" wp14:textId="53B3EEC8">
      <w:p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addition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these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have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developed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joint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projects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with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FAO.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Local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Advisory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Councils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11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provinces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have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approved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various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proposals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sustainable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management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local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With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this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project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:</w:t>
      </w:r>
    </w:p>
    <w:p xmlns:wp14="http://schemas.microsoft.com/office/word/2010/wordml" w:rsidP="1F4EEBC7" wp14:paraId="520B690F" wp14:textId="492C9A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idea of 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Basin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Plan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Formosa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province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1F4EEBC7" wp14:paraId="2256E86B" wp14:textId="514A683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24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Comprehensive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Community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Plans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(PIC)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distributed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across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six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provinces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: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Neuquén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Río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Negro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La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Rioja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San Juan,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Catamarca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Formosa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1F4EEBC7" wp14:paraId="562F8060" wp14:textId="7F6AA9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28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Management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Plans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related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Integrated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Livestock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(MBGI)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across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nine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provinces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: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Neuquén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Río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Negro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La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Rioja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Mendoza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San Juan, San Luis,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Catamarca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Corrientes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Formosa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1F4EEBC7" wp14:paraId="203630E3" wp14:textId="11642FF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4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proposals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related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Fire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Prevention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Plans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(PPIF)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Neuquén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Río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Negro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La Pampa,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San Luis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provinces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.</w:t>
      </w:r>
    </w:p>
    <w:p xmlns:wp14="http://schemas.microsoft.com/office/word/2010/wordml" w:rsidP="1F4EEBC7" wp14:paraId="3546C800" wp14:textId="70B41B62">
      <w:p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Moreover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design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sustainable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livestock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project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through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Integrated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Livestock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Management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was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initiated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with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 workshop.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Based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on an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initiative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from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financing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from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Global Environment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Facility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(GEF/GEF),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FAO, as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implementing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agency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organized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meeting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initiate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alignment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synergy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efforts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between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various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key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actors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sector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This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project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represents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opportunity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integrate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biodiversity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conservation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with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national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livestock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production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systems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by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promoting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deforestation-free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production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systems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local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forests</w:t>
      </w:r>
      <w:proofErr w:type="spellEnd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6D3A596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</w:p>
    <w:p w:rsidR="1F4EEBC7" w:rsidP="1F4EEBC7" w:rsidRDefault="1F4EEBC7" w14:paraId="6C5924D5" w14:textId="7D448E66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</w:p>
    <w:p w:rsidR="494FE398" w:rsidP="1F4EEBC7" w:rsidRDefault="494FE398" w14:paraId="2BEF83DB" w14:textId="2D3F4738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  <w:proofErr w:type="spellStart"/>
      <w:r w:rsidRPr="1F4EEBC7" w:rsidR="494FE398">
        <w:rPr>
          <w:rFonts w:ascii="Arial" w:hAnsi="Arial" w:eastAsia="Arial" w:cs="Arial"/>
          <w:noProof w:val="0"/>
          <w:sz w:val="20"/>
          <w:szCs w:val="20"/>
          <w:lang w:val="tr-TR"/>
        </w:rPr>
        <w:t>Proposal</w:t>
      </w:r>
      <w:proofErr w:type="spellEnd"/>
      <w:r w:rsidRPr="1F4EEBC7" w:rsidR="494FE398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:</w:t>
      </w:r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Our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proposed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solutions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as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Republic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Argentina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are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as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follows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: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State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particularly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green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should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encourage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private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sector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involvement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believe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alongside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tax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subsidies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government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incentives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both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profitability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will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increase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maintain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agricultural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productivity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think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modern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farming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techniques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should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be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promoted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use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tools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equipment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vehicles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consume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renewable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instead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of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fossil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fuels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should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be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encouraged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aim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increase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efficiency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through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artificial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intelligence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also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argue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countries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without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access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traditional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agriculture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green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should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receive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investments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through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joint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FAO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fund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under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UN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oversight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If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countries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fail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comply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with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FAO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conditions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believe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it is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essential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impose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key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sanctions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on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them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Companies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producing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vehicles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consume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green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energy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should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also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receive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support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from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UN on an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international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level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.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is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crucial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governments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do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this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through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incentives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rather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than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pressure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, as it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would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serve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as a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great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example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and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motivation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</w:t>
      </w:r>
      <w:proofErr w:type="spellStart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>for</w:t>
      </w:r>
      <w:proofErr w:type="spellEnd"/>
      <w:r w:rsidRPr="1F4EEBC7" w:rsidR="45DCAA0A">
        <w:rPr>
          <w:rFonts w:ascii="Arial" w:hAnsi="Arial" w:eastAsia="Arial" w:cs="Arial"/>
          <w:noProof w:val="0"/>
          <w:sz w:val="20"/>
          <w:szCs w:val="20"/>
          <w:lang w:val="tr-TR"/>
        </w:rPr>
        <w:t xml:space="preserve"> companies.</w:t>
      </w:r>
    </w:p>
    <w:p xmlns:wp14="http://schemas.microsoft.com/office/word/2010/wordml" w:rsidP="735ECE17" wp14:paraId="001F01AA" wp14:textId="77988EA8">
      <w:pPr>
        <w:pStyle w:val="Normal"/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</w:p>
    <w:p xmlns:wp14="http://schemas.microsoft.com/office/word/2010/wordml" w:rsidP="735ECE17" wp14:paraId="4C358E75" wp14:textId="7F11255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tr-TR"/>
        </w:rPr>
      </w:pPr>
    </w:p>
    <w:p xmlns:wp14="http://schemas.microsoft.com/office/word/2010/wordml" wp14:paraId="0510D602" wp14:textId="4BC5DBAD"/>
    <w:p xmlns:wp14="http://schemas.microsoft.com/office/word/2010/wordml" w:rsidP="735ECE17" wp14:paraId="1DB4442F" wp14:textId="4FD3B2C2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tr-TR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e447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912AC8"/>
    <w:rsid w:val="029721EA"/>
    <w:rsid w:val="0470397F"/>
    <w:rsid w:val="087190F4"/>
    <w:rsid w:val="0BD1148C"/>
    <w:rsid w:val="121665C0"/>
    <w:rsid w:val="15CA9D94"/>
    <w:rsid w:val="18129525"/>
    <w:rsid w:val="1F4EEBC7"/>
    <w:rsid w:val="24E2787E"/>
    <w:rsid w:val="301D5D3A"/>
    <w:rsid w:val="31C9A3F3"/>
    <w:rsid w:val="3D145FA3"/>
    <w:rsid w:val="409D26D5"/>
    <w:rsid w:val="45DCAA0A"/>
    <w:rsid w:val="494FE398"/>
    <w:rsid w:val="4D912AC8"/>
    <w:rsid w:val="59AE4E5E"/>
    <w:rsid w:val="5CC9F420"/>
    <w:rsid w:val="667BD7AB"/>
    <w:rsid w:val="6A751102"/>
    <w:rsid w:val="6D3A596A"/>
    <w:rsid w:val="735E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2AC8"/>
  <w15:chartTrackingRefBased/>
  <w15:docId w15:val="{E680297B-4F58-4FDA-9E36-303B48DA4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F4EEBC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3296eae9de49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2024-12-15T16:53:27.8437282Z</dcterms:created>
  <dcterms:modified xsi:type="dcterms:W3CDTF">2024-12-15T18:09:20.6124956Z</dcterms:modified>
  <dc:creator>Hilmi Yalçın</dc:creator>
  <lastModifiedBy>Hilmi Yalçın</lastModifiedBy>
</coreProperties>
</file>