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header1.xml" ContentType="application/vnd.openxmlformats-officedocument.wordprocessingml.header+xml"/>
  <Override PartName="/"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xmlns:wp14="http://schemas.microsoft.com/office/word/2010/wordprocessingDrawing" xmlns:wpi="http://schemas.microsoft.com/office/word/2010/wordprocessingInk" xmlns:aink="http://schemas.microsoft.com/office/drawing/2016/ink">
  <w:body>
    <w:p w14:paraId="00000001">
      <w:r>
        <w:rPr/>
        <w:drawing xmlns:mc="http://schemas.openxmlformats.org/markup-compatibility/2006">
          <wp:inline distT="0" distB="0" distL="0" distR="0">
            <wp:extent cx="1502646" cy="755298"/>
            <wp:effectExtent l="0" t="0" r="0" b="0"/>
            <wp:docPr id="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9"/>
                    <a:srcRect/>
                    <a:stretch>
                      <a:fillRect/>
                    </a:stretch>
                  </pic:blipFill>
                  <pic:spPr>
                    <a:xfrm>
                      <a:off x="0" y="0"/>
                      <a:ext cx="1502646" cy="755298"/>
                    </a:xfrm>
                    <a:prstGeom prst="rect">
                      <a:avLst/>
                    </a:prstGeom>
                  </pic:spPr>
                </pic:pic>
              </a:graphicData>
            </a:graphic>
          </wp:inline>
        </w:drawing>
      </w:r>
      <w:r>
        <w:rPr>
          <w:rtl w:val="off"/>
        </w:rPr>
        <w:t xml:space="preserve">                                                              </w:t>
      </w:r>
      <w:r>
        <w:rPr/>
        <w:drawing xmlns:mc="http://schemas.openxmlformats.org/markup-compatibility/2006">
          <wp:inline distT="0" distB="0" distL="0" distR="0">
            <wp:extent cx="1352720" cy="811632"/>
            <wp:effectExtent l="0" t="0" r="0" b="0"/>
            <wp:docPr id="4"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a:srcRect/>
                    <a:stretch>
                      <a:fillRect/>
                    </a:stretch>
                  </pic:blipFill>
                  <pic:spPr>
                    <a:xfrm>
                      <a:off x="0" y="0"/>
                      <a:ext cx="1352720" cy="811632"/>
                    </a:xfrm>
                    <a:prstGeom prst="rect">
                      <a:avLst/>
                    </a:prstGeom>
                  </pic:spPr>
                </pic:pic>
              </a:graphicData>
            </a:graphic>
          </wp:inline>
        </w:drawing>
      </w:r>
    </w:p>
    <w:p w14:paraId="00000002"/>
    <w:p w14:paraId="00000003"/>
    <w:p w14:paraId="00000004">
      <w:pPr>
        <w:rPr>
          <w:sz w:val="28"/>
          <w:szCs w:val="28"/>
        </w:rPr>
      </w:pPr>
      <w:r>
        <w:rPr>
          <w:sz w:val="36"/>
          <w:szCs w:val="36"/>
          <w:rtl w:val="off"/>
        </w:rPr>
        <w:t>Committee:</w:t>
      </w:r>
      <w:r>
        <w:rPr>
          <w:sz w:val="28"/>
          <w:szCs w:val="28"/>
          <w:rtl w:val="off"/>
        </w:rPr>
        <w:t xml:space="preserve"> United Nations Entity for Gender Equality and the Empowerment of Woman (UNWOMAN)</w:t>
      </w:r>
    </w:p>
    <w:p w14:paraId="00000005">
      <w:pPr>
        <w:rPr>
          <w:sz w:val="28"/>
          <w:szCs w:val="28"/>
        </w:rPr>
      </w:pPr>
    </w:p>
    <w:p w14:paraId="00000006">
      <w:pPr>
        <w:rPr>
          <w:sz w:val="28"/>
          <w:szCs w:val="28"/>
        </w:rPr>
      </w:pPr>
      <w:r>
        <w:rPr>
          <w:sz w:val="36"/>
          <w:szCs w:val="36"/>
          <w:rtl w:val="off"/>
        </w:rPr>
        <w:t xml:space="preserve">Country: </w:t>
      </w:r>
      <w:r>
        <w:rPr>
          <w:sz w:val="28"/>
          <w:szCs w:val="28"/>
          <w:rtl w:val="off"/>
        </w:rPr>
        <w:t>Lithuania</w:t>
      </w:r>
    </w:p>
    <w:p w14:paraId="00000007">
      <w:pPr>
        <w:rPr>
          <w:sz w:val="28"/>
          <w:szCs w:val="28"/>
        </w:rPr>
      </w:pPr>
    </w:p>
    <w:p w14:paraId="00000008">
      <w:pPr>
        <w:rPr>
          <w:sz w:val="28"/>
          <w:szCs w:val="28"/>
        </w:rPr>
      </w:pPr>
      <w:r>
        <w:rPr>
          <w:sz w:val="36"/>
          <w:szCs w:val="36"/>
          <w:rtl w:val="off"/>
        </w:rPr>
        <w:t xml:space="preserve">Agenda Item: </w:t>
      </w:r>
      <w:r>
        <w:rPr>
          <w:sz w:val="28"/>
          <w:szCs w:val="28"/>
          <w:rtl w:val="off"/>
        </w:rPr>
        <w:t>Addressing FemicideThrough Legislative Action and International Cooperation</w:t>
      </w:r>
    </w:p>
    <w:p w14:paraId="00000009">
      <w:pPr>
        <w:rPr>
          <w:sz w:val="28"/>
          <w:szCs w:val="28"/>
        </w:rPr>
      </w:pPr>
    </w:p>
    <w:p w14:paraId="0000000A">
      <w:pPr>
        <w:rPr>
          <w:color w:val="202122"/>
          <w:sz w:val="46"/>
          <w:szCs w:val="46"/>
          <w:highlight w:val="white"/>
          <w:vertAlign w:val="superscript"/>
        </w:rPr>
      </w:pPr>
      <w:r>
        <w:rPr>
          <w:sz w:val="28"/>
          <w:szCs w:val="28"/>
          <w:rtl w:val="off"/>
        </w:rPr>
        <w:t xml:space="preserve">    Lithuania, officially the Republic of Lithuania, is a country in the Baltic region of Europe. It is one of three Baltic states and lies on the eastern shore of the Baltic Sea. Lithuania covers an area of 65,300 </w:t>
      </w:r>
      <w:r>
        <w:rPr>
          <w:color w:val="202122"/>
          <w:sz w:val="24"/>
          <w:szCs w:val="24"/>
          <w:highlight w:val="white"/>
          <w:rtl w:val="off"/>
        </w:rPr>
        <w:t>km</w:t>
      </w:r>
      <w:r>
        <w:rPr>
          <w:color w:val="202122"/>
          <w:sz w:val="46"/>
          <w:szCs w:val="46"/>
          <w:highlight w:val="white"/>
          <w:vertAlign w:val="superscript"/>
          <w:rtl w:val="off"/>
        </w:rPr>
        <w:t xml:space="preserve">2 (25,200 sq mi), with a population of 2,89 million. </w:t>
      </w:r>
    </w:p>
    <w:p w14:paraId="0000000B">
      <w:pPr>
        <w:rPr>
          <w:color w:val="202122"/>
          <w:sz w:val="46"/>
          <w:szCs w:val="46"/>
          <w:highlight w:val="white"/>
          <w:vertAlign w:val="superscript"/>
        </w:rPr>
      </w:pPr>
      <w:r>
        <w:rPr>
          <w:color w:val="202122"/>
          <w:sz w:val="46"/>
          <w:szCs w:val="46"/>
          <w:highlight w:val="white"/>
          <w:vertAlign w:val="superscript"/>
          <w:rtl w:val="off"/>
        </w:rPr>
        <w:t xml:space="preserve">   Femicide is a really serious problem in today's world. It is unacceptable but it is quite common around the world. Most countries in Europe have this problem. Lithuania has a higher rate of femicide than other European countries. The number of such incidents is increasing day by day, especially in rural areas.</w:t>
      </w:r>
    </w:p>
    <w:p w14:paraId="0000000C">
      <w:pPr>
        <w:rPr>
          <w:color w:val="202122"/>
          <w:sz w:val="46"/>
          <w:szCs w:val="46"/>
          <w:highlight w:val="white"/>
          <w:vertAlign w:val="superscript"/>
        </w:rPr>
      </w:pPr>
      <w:r>
        <w:rPr>
          <w:color w:val="202122"/>
          <w:sz w:val="46"/>
          <w:szCs w:val="46"/>
          <w:highlight w:val="white"/>
          <w:vertAlign w:val="superscript"/>
          <w:rtl w:val="off"/>
        </w:rPr>
        <w:t xml:space="preserve">   As Lithuania we admit that we are having difficulty in dealing with femicide. And we know that we need to pay more attention to this topic but we strive to improve ourselves. The causes of femicide in Lithuania are often based on the social structure of society. We know that we ned to make more effective laws and do more work to raise our society’s awareness on this issue.  In order to raise public awareness, we can make presentations about the seriousness of this issue in schools, courses or public areas. But it will not be effective worldwide if we do this alone. That is why we invite other countries to make such informative presentations. And we believe that if we work together we can overcome this. In this issue cooperation is very important. We are open to any kind of cooperation with other countries.</w:t>
      </w:r>
    </w:p>
    <w:p w14:paraId="0000000D">
      <w:pPr>
        <w:rPr>
          <w:color w:val="202122"/>
          <w:sz w:val="46"/>
          <w:szCs w:val="46"/>
          <w:highlight w:val="white"/>
          <w:vertAlign w:val="superscript"/>
        </w:rPr>
      </w:pPr>
      <w:r>
        <w:rPr>
          <w:color w:val="202122"/>
          <w:sz w:val="46"/>
          <w:szCs w:val="46"/>
          <w:highlight w:val="white"/>
          <w:vertAlign w:val="superscript"/>
          <w:rtl w:val="off"/>
        </w:rPr>
        <w:t xml:space="preserve">   </w:t>
      </w:r>
    </w:p>
    <w:p w14:paraId="0000000E">
      <w:pPr>
        <w:rPr>
          <w:color w:val="202122"/>
          <w:sz w:val="46"/>
          <w:szCs w:val="46"/>
          <w:highlight w:val="white"/>
          <w:vertAlign w:val="superscript"/>
        </w:rPr>
      </w:pPr>
    </w:p>
    <w:p w14:paraId="0000000F">
      <w:pPr>
        <w:rPr>
          <w:color w:val="202122"/>
          <w:sz w:val="28"/>
          <w:szCs w:val="28"/>
          <w:highlight w:val="white"/>
          <w:vertAlign w:val="superscript"/>
        </w:rPr>
      </w:pPr>
    </w:p>
    <w:p w14:paraId="00000010">
      <w:pPr>
        <w:rPr>
          <w:color w:val="202122"/>
          <w:sz w:val="28"/>
          <w:szCs w:val="28"/>
          <w:highlight w:val="white"/>
          <w:vertAlign w:val="superscript"/>
        </w:rPr>
      </w:pPr>
      <w:r>
        <w:rPr>
          <w:color w:val="202122"/>
          <w:sz w:val="46"/>
          <w:szCs w:val="46"/>
          <w:highlight w:val="white"/>
          <w:vertAlign w:val="superscript"/>
          <w:rtl w:val="off"/>
        </w:rPr>
        <w:t xml:space="preserve">   </w:t>
      </w:r>
    </w:p>
    <w:p w14:paraId="00000011">
      <w:pPr>
        <w:rPr>
          <w:color w:val="202122"/>
          <w:sz w:val="46"/>
          <w:szCs w:val="46"/>
          <w:highlight w:val="white"/>
          <w:vertAlign w:val="superscript"/>
        </w:rPr>
      </w:pPr>
      <w:r>
        <w:rPr>
          <w:color w:val="202122"/>
          <w:sz w:val="46"/>
          <w:szCs w:val="46"/>
          <w:highlight w:val="white"/>
          <w:vertAlign w:val="superscript"/>
          <w:rtl w:val="off"/>
        </w:rPr>
        <w:t xml:space="preserve">    </w:t>
      </w:r>
    </w:p>
    <w:p w14:paraId="00000012">
      <w:pPr>
        <w:rPr>
          <w:color w:val="202122"/>
          <w:sz w:val="46"/>
          <w:szCs w:val="46"/>
          <w:highlight w:val="white"/>
          <w:vertAlign w:val="superscript"/>
        </w:rPr>
      </w:pPr>
    </w:p>
    <w:p w14:paraId="00000013">
      <w:pPr>
        <w:rPr>
          <w:color w:val="202122"/>
          <w:sz w:val="46"/>
          <w:szCs w:val="46"/>
          <w:highlight w:val="white"/>
          <w:vertAlign w:val="superscript"/>
        </w:rPr>
      </w:pPr>
      <w:r>
        <w:rPr>
          <w:color w:val="202122"/>
          <w:sz w:val="46"/>
          <w:szCs w:val="46"/>
          <w:highlight w:val="white"/>
          <w:vertAlign w:val="superscript"/>
          <w:rtl w:val="off"/>
        </w:rPr>
        <w:t xml:space="preserve">  </w:t>
      </w:r>
    </w:p>
    <w:p w14:paraId="00000014">
      <w:pPr>
        <w:rPr>
          <w:color w:val="202122"/>
          <w:sz w:val="46"/>
          <w:szCs w:val="46"/>
          <w:highlight w:val="white"/>
          <w:vertAlign w:val="superscript"/>
        </w:rPr>
      </w:pPr>
      <w:r>
        <w:rPr>
          <w:color w:val="202122"/>
          <w:sz w:val="46"/>
          <w:szCs w:val="46"/>
          <w:highlight w:val="white"/>
          <w:vertAlign w:val="superscript"/>
          <w:rtl w:val="off"/>
        </w:rPr>
        <w:t xml:space="preserve">     </w:t>
      </w:r>
    </w:p>
    <w:sectPr>
      <w:headerReference w:type="default" r:id="rId11"/>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xmlns:wp14="http://schemas.microsoft.com/office/word/2010/wordprocessingDrawing" xmlns:wpi="http://schemas.microsoft.com/office/word/2010/wordprocessingInk" xmlns:aink="http://schemas.microsoft.com/office/drawing/2016/ink">
  <w:p w14:paraId="00000015">
    <w:pPr>
      <w:rPr>
        <w:sz w:val="60"/>
        <w:szCs w:val="60"/>
      </w:rPr>
    </w:pPr>
    <w:r>
      <w:rPr>
        <w:sz w:val="60"/>
        <w:szCs w:val="60"/>
        <w:rtl w:val="off"/>
      </w:rPr>
      <w:t xml:space="preserve">          POSITION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Arial" w:cs="Arial" w:eastAsia="Arial" w:hAnsi="Arial"/>
        <w:sz w:val="22"/>
        <w:szCs w:val="22"/>
        <w:lang w:val="en-AU"/>
      </w:rPr>
    </w:rPrDefault>
    <w:pPrDefault>
      <w:pPr>
        <w:spacing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pageBreakBefore w:val="off"/>
      <w:spacing w:before="400" w:after="120"/>
    </w:pPr>
    <w:rPr>
      <w:sz w:val="40"/>
      <w:szCs w:val="40"/>
    </w:rPr>
  </w:style>
  <w:style w:type="paragraph" w:styleId="Heading2">
    <w:name w:val="Heading 2"/>
    <w:basedOn w:val="Normal"/>
    <w:next w:val="Normal"/>
    <w:uiPriority w:val="99"/>
    <w:pPr>
      <w:keepNext w:val="on"/>
      <w:keepLines w:val="on"/>
      <w:pageBreakBefore w:val="off"/>
      <w:spacing w:before="360" w:after="120"/>
    </w:pPr>
    <w:rPr>
      <w:b w:val="off"/>
      <w:sz w:val="32"/>
      <w:szCs w:val="32"/>
    </w:rPr>
  </w:style>
  <w:style w:type="paragraph" w:styleId="Heading3">
    <w:name w:val="Heading 3"/>
    <w:basedOn w:val="Normal"/>
    <w:next w:val="Normal"/>
    <w:uiPriority w:val="99"/>
    <w:pPr>
      <w:keepNext w:val="on"/>
      <w:keepLines w:val="on"/>
      <w:pageBreakBefore w:val="off"/>
      <w:spacing w:before="320" w:after="80"/>
    </w:pPr>
    <w:rPr>
      <w:b w:val="off"/>
      <w:color w:val="434343"/>
      <w:sz w:val="28"/>
      <w:szCs w:val="28"/>
    </w:rPr>
  </w:style>
  <w:style w:type="paragraph" w:styleId="Heading4">
    <w:name w:val="Heading 4"/>
    <w:basedOn w:val="Normal"/>
    <w:next w:val="Normal"/>
    <w:uiPriority w:val="99"/>
    <w:pPr>
      <w:keepNext w:val="on"/>
      <w:keepLines w:val="on"/>
      <w:pageBreakBefore w:val="off"/>
      <w:spacing w:before="280" w:after="80"/>
    </w:pPr>
    <w:rPr>
      <w:color w:val="666666"/>
      <w:sz w:val="24"/>
      <w:szCs w:val="24"/>
    </w:rPr>
  </w:style>
  <w:style w:type="paragraph" w:styleId="Heading5">
    <w:name w:val="Heading 5"/>
    <w:basedOn w:val="Normal"/>
    <w:next w:val="Normal"/>
    <w:uiPriority w:val="99"/>
    <w:pPr>
      <w:keepNext w:val="on"/>
      <w:keepLines w:val="on"/>
      <w:pageBreakBefore w:val="off"/>
      <w:spacing w:before="240" w:after="80"/>
    </w:pPr>
    <w:rPr>
      <w:color w:val="666666"/>
      <w:sz w:val="22"/>
      <w:szCs w:val="22"/>
    </w:rPr>
  </w:style>
  <w:style w:type="paragraph" w:styleId="Heading6">
    <w:name w:val="Heading 6"/>
    <w:basedOn w:val="Normal"/>
    <w:next w:val="Normal"/>
    <w:uiPriority w:val="99"/>
    <w:pPr>
      <w:keepNext w:val="on"/>
      <w:keepLines w:val="on"/>
      <w:pageBreakBefore w:val="off"/>
      <w:spacing w:before="240" w:after="80"/>
    </w:pPr>
    <w:rPr>
      <w:i/>
      <w:color w:val="666666"/>
      <w:sz w:val="22"/>
      <w:szCs w:val="22"/>
    </w:rPr>
  </w:style>
  <w:style w:type="paragraph" w:styleId="Title">
    <w:name w:val="Title"/>
    <w:basedOn w:val="Normal"/>
    <w:next w:val="Normal"/>
    <w:uiPriority w:val="99"/>
    <w:pPr>
      <w:keepNext w:val="on"/>
      <w:keepLines w:val="on"/>
      <w:pageBreakBefore w:val="off"/>
      <w:spacing w:before="0" w:after="60"/>
    </w:pPr>
    <w:rPr>
      <w:sz w:val="52"/>
      <w:szCs w:val="52"/>
    </w:rPr>
  </w:style>
  <w:style w:type="paragraph" w:styleId="Subtitle">
    <w:name w:val="Subtitle"/>
    <w:basedOn w:val="Normal"/>
    <w:next w:val="Normal"/>
    <w:uiPriority w:val="99"/>
    <w:pPr>
      <w:keepNext w:val="on"/>
      <w:keepLines w:val="on"/>
      <w:pageBreakBefore w:val="off"/>
      <w:spacing w:before="0" w:after="320"/>
    </w:pPr>
    <w:rPr>
      <w:rFonts w:ascii="Arial" w:cs="Arial" w:eastAsia="Arial" w:hAnsi="Arial"/>
      <w:i w:val="off"/>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eader" Target="head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