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69D7039" w:rsidP="700AF54E" w:rsidRDefault="569D7039" w14:paraId="2D14FE62" w14:textId="6FFF84F1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569D7039">
        <w:drawing>
          <wp:inline wp14:editId="7E71171F" wp14:anchorId="1AC9D289">
            <wp:extent cx="1440000" cy="1440000"/>
            <wp:effectExtent l="0" t="0" r="0" b="0"/>
            <wp:docPr id="10543666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1ef0d839e443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0AF54E" w:rsidR="569D7039">
        <w:rPr>
          <w:rFonts w:ascii="Times New Roman" w:hAnsi="Times New Roman" w:eastAsia="Times New Roman" w:cs="Times New Roman"/>
          <w:lang w:val="en-US"/>
        </w:rPr>
        <w:t xml:space="preserve">         </w:t>
      </w:r>
      <w:r w:rsidRPr="700AF54E" w:rsidR="569D7039">
        <w:rPr>
          <w:rFonts w:ascii="Times New Roman" w:hAnsi="Times New Roman" w:eastAsia="Times New Roman" w:cs="Times New Roman"/>
          <w:lang w:val="en-US"/>
        </w:rPr>
        <w:t xml:space="preserve">                     </w:t>
      </w:r>
      <w:r w:rsidRPr="700AF54E" w:rsidR="569D7039">
        <w:rPr>
          <w:rFonts w:ascii="Times New Roman" w:hAnsi="Times New Roman" w:eastAsia="Times New Roman" w:cs="Times New Roman"/>
          <w:lang w:val="en-US"/>
        </w:rPr>
        <w:t xml:space="preserve">                                            </w:t>
      </w:r>
      <w:r w:rsidR="569D7039">
        <w:drawing>
          <wp:inline wp14:editId="17A8C1BA" wp14:anchorId="7830EDF8">
            <wp:extent cx="1440000" cy="1440000"/>
            <wp:effectExtent l="0" t="0" r="0" b="0"/>
            <wp:docPr id="1054363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3d8e0eeb7841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0AF54E" w:rsidR="212EE1D4">
        <w:rPr>
          <w:rFonts w:ascii="Times New Roman" w:hAnsi="Times New Roman" w:eastAsia="Times New Roman" w:cs="Times New Roman"/>
          <w:lang w:val="en-US"/>
        </w:rPr>
        <w:t xml:space="preserve">              </w:t>
      </w:r>
      <w:r>
        <w:br/>
      </w:r>
      <w:r w:rsidRPr="700AF54E" w:rsidR="212EE1D4">
        <w:rPr>
          <w:rFonts w:ascii="Times New Roman" w:hAnsi="Times New Roman" w:eastAsia="Times New Roman" w:cs="Times New Roman"/>
          <w:sz w:val="40"/>
          <w:szCs w:val="40"/>
          <w:lang w:val="en-US"/>
        </w:rPr>
        <w:t>Economic and Social Council (ECOSOC)</w:t>
      </w:r>
      <w:r>
        <w:br/>
      </w:r>
      <w:r>
        <w:br/>
      </w:r>
      <w:r w:rsidRPr="700AF54E" w:rsidR="6363145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Country: </w:t>
      </w:r>
      <w:r w:rsidRPr="700AF54E" w:rsidR="45A3F0C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Kingdom of </w:t>
      </w:r>
      <w:r w:rsidRPr="700AF54E" w:rsidR="6363145A">
        <w:rPr>
          <w:rFonts w:ascii="Times New Roman" w:hAnsi="Times New Roman" w:eastAsia="Times New Roman" w:cs="Times New Roman"/>
          <w:sz w:val="24"/>
          <w:szCs w:val="24"/>
          <w:lang w:val="en-US"/>
        </w:rPr>
        <w:t>Netherlands</w:t>
      </w:r>
      <w:r>
        <w:br/>
      </w:r>
      <w:r w:rsidRPr="700AF54E" w:rsidR="44AE05AE">
        <w:rPr>
          <w:rFonts w:ascii="Times New Roman" w:hAnsi="Times New Roman" w:eastAsia="Times New Roman" w:cs="Times New Roman"/>
          <w:sz w:val="24"/>
          <w:szCs w:val="24"/>
          <w:lang w:val="en-US"/>
        </w:rPr>
        <w:t>Agenda Item: Economic Policies Supporting Sustainable Development</w:t>
      </w:r>
      <w:r>
        <w:br/>
      </w:r>
      <w:r>
        <w:br/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The Netherlands, informally Holland, is a country in</w:t>
      </w:r>
      <w:r w:rsidRPr="700AF54E" w:rsidR="13F0B7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Northwestern Europe, with</w:t>
      </w:r>
      <w:r w:rsidRPr="700AF54E" w:rsidR="438057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overseas territories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in the</w:t>
      </w:r>
      <w:r w:rsidRPr="700AF54E" w:rsidR="32D1CE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Carribean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. It is the largest of the four constituent countries of the</w:t>
      </w:r>
      <w:r w:rsidRPr="700AF54E" w:rsidR="18260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Kingdom of the Netherlands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. The Netherlands consists of</w:t>
      </w:r>
      <w:r w:rsidRPr="700AF54E" w:rsidR="17E73D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twelve provinces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; it borders German</w:t>
      </w:r>
      <w:r w:rsidRPr="700AF54E" w:rsidR="66F0F6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y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to the east and</w:t>
      </w:r>
      <w:r w:rsidRPr="700AF54E" w:rsidR="45975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Belgium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to the south, with a</w:t>
      </w:r>
      <w:r w:rsidRPr="700AF54E" w:rsidR="5BE533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North Sea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coastline to the north and west. It shares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maritime borders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with the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United Kingdom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, Germany, and Belgium. The official language is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Dutch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, with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West Frisian</w:t>
      </w:r>
      <w:r w:rsidRPr="700AF54E" w:rsidR="2BE335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as a secondary official language in the province of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Friesland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. Dutch,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English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, and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Papiamento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are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official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in the 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Caribbean territories</w:t>
      </w:r>
      <w:r w:rsidRPr="700AF54E" w:rsidR="0842C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.</w:t>
      </w:r>
      <w:r>
        <w:br/>
      </w:r>
      <w:r>
        <w:br/>
      </w:r>
      <w:r w:rsidRPr="700AF54E" w:rsidR="6F4970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The Netherlands falls into the</w:t>
      </w:r>
      <w:r w:rsidRPr="700AF54E" w:rsidR="615A18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(top 10)</w:t>
      </w:r>
      <w:r w:rsidRPr="700AF54E" w:rsidR="6F4970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upper-middle ranks</w:t>
      </w:r>
      <w:r w:rsidRPr="700AF54E" w:rsidR="3274F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in economic sustainability</w:t>
      </w:r>
      <w:r w:rsidRPr="700AF54E" w:rsidR="416727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with the country having a circular</w:t>
      </w:r>
      <w:r w:rsidRPr="700AF54E" w:rsidR="19049A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ly stable </w:t>
      </w:r>
      <w:r w:rsidRPr="700AF54E" w:rsidR="416727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economy, spending the currency evenly.</w:t>
      </w:r>
      <w:r w:rsidRPr="700AF54E" w:rsidR="3A2BF5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This circular</w:t>
      </w:r>
      <w:r w:rsidRPr="700AF54E" w:rsidR="0F31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economy comes from investments, evenly spreading</w:t>
      </w:r>
      <w:r w:rsidRPr="700AF54E" w:rsidR="24155E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the funds, </w:t>
      </w:r>
      <w:r w:rsidRPr="700AF54E" w:rsidR="4B2235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having programs that </w:t>
      </w:r>
      <w:r w:rsidRPr="700AF54E" w:rsidR="30B980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are</w:t>
      </w:r>
      <w:r w:rsidRPr="700AF54E" w:rsidR="4B2235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predicted to last 40 years</w:t>
      </w:r>
      <w:r w:rsidRPr="700AF54E" w:rsidR="638F8B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such </w:t>
      </w:r>
      <w:r w:rsidRPr="700AF54E" w:rsidR="638F8B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as</w:t>
      </w:r>
      <w:r w:rsidRPr="700AF54E" w:rsidR="6905C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</w:t>
      </w:r>
      <w:r w:rsidRPr="700AF54E" w:rsidR="638F8B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”Amste</w:t>
      </w:r>
      <w:r w:rsidRPr="700AF54E" w:rsidR="4732D8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r</w:t>
      </w:r>
      <w:r w:rsidRPr="700AF54E" w:rsidR="638F8B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dam</w:t>
      </w:r>
      <w:r w:rsidRPr="700AF54E" w:rsidR="638F8B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Circular</w:t>
      </w:r>
      <w:r w:rsidRPr="700AF54E" w:rsidR="00D06A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” program</w:t>
      </w:r>
      <w:r w:rsidRPr="700AF54E" w:rsidR="0F319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. </w:t>
      </w:r>
      <w:r w:rsidRPr="700AF54E" w:rsidR="4AC068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Netherlands</w:t>
      </w:r>
      <w:r w:rsidRPr="700AF54E" w:rsidR="6CBEB7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also</w:t>
      </w:r>
      <w:r w:rsidRPr="700AF54E" w:rsidR="4AC068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relies on using</w:t>
      </w:r>
      <w:r w:rsidRPr="700AF54E" w:rsidR="1B852F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waste management plans and recycling</w:t>
      </w:r>
      <w:r w:rsidRPr="700AF54E" w:rsidR="4E8826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to save</w:t>
      </w:r>
      <w:r w:rsidRPr="700AF54E" w:rsidR="716835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the environment</w:t>
      </w:r>
      <w:r w:rsidRPr="700AF54E" w:rsidR="716835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.</w:t>
      </w:r>
      <w:r w:rsidRPr="700AF54E" w:rsidR="40D54E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</w:t>
      </w:r>
      <w:r w:rsidRPr="700AF54E" w:rsidR="25B3B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We can see that these projects have had a positive impact on the country over a 15-year period (starting from the</w:t>
      </w:r>
      <w:r w:rsidRPr="700AF54E" w:rsidR="057D2D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</w:t>
      </w:r>
      <w:r w:rsidRPr="700AF54E" w:rsidR="25B3BF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1990’s).</w:t>
      </w:r>
      <w:r w:rsidRPr="700AF54E" w:rsidR="62BEA1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In the 17 goals of sustainability</w:t>
      </w:r>
      <w:r w:rsidRPr="700AF54E" w:rsidR="4E33C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for the United Nations, </w:t>
      </w:r>
      <w:r w:rsidRPr="700AF54E" w:rsidR="15B4CD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in response for </w:t>
      </w:r>
      <w:r w:rsidRPr="700AF54E" w:rsidR="15B4CD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the ”Sustainable</w:t>
      </w:r>
      <w:r w:rsidRPr="700AF54E" w:rsidR="15B4CD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Communities and Cities”, Netherlands implemented a program</w:t>
      </w:r>
      <w:r w:rsidRPr="700AF54E" w:rsidR="6802A8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</w:t>
      </w:r>
      <w:r w:rsidRPr="700AF54E" w:rsidR="6802A8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called ”The</w:t>
      </w:r>
      <w:r w:rsidRPr="700AF54E" w:rsidR="6802A8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Green Village”, using research centers to make this </w:t>
      </w:r>
      <w:r w:rsidRPr="700AF54E" w:rsidR="11C1B6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goal possible, </w:t>
      </w:r>
      <w:r w:rsidRPr="700AF54E" w:rsidR="496CA4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>reaching with projects</w:t>
      </w:r>
      <w:r w:rsidRPr="700AF54E" w:rsidR="56694E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from:</w:t>
      </w:r>
      <w:r w:rsidRPr="700AF54E" w:rsidR="496CA4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en-US"/>
        </w:rPr>
        <w:t xml:space="preserve"> </w:t>
      </w:r>
      <w:r w:rsidRPr="700AF54E" w:rsidR="496CA4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circularity, water,</w:t>
      </w:r>
      <w:r w:rsidRPr="700AF54E" w:rsidR="28FB46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renewable</w:t>
      </w:r>
      <w:r w:rsidRPr="700AF54E" w:rsidR="496CA4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energy, buildings, intelligent outdoor spaces and smart mobility</w:t>
      </w:r>
      <w:r w:rsidRPr="700AF54E" w:rsidR="496CA4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  <w:r>
        <w:br/>
      </w:r>
      <w:r>
        <w:br/>
      </w:r>
      <w:r w:rsidRPr="700AF54E" w:rsidR="69FE05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Our suggestions </w:t>
      </w:r>
      <w:r w:rsidRPr="700AF54E" w:rsidR="74C823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and policy are</w:t>
      </w:r>
      <w:r w:rsidRPr="700AF54E" w:rsidR="69FE05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700AF54E" w:rsidR="69FE05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mainly this</w:t>
      </w:r>
      <w:r w:rsidRPr="700AF54E" w:rsidR="69FE05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way,</w:t>
      </w:r>
      <w:r w:rsidRPr="700AF54E" w:rsidR="64DD51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proposing</w:t>
      </w:r>
      <w:r w:rsidRPr="700AF54E" w:rsidR="69FE05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the UN to implement such facilities to </w:t>
      </w:r>
      <w:r w:rsidRPr="700AF54E" w:rsidR="6FB4C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be built and research to achieve the ideal and better conditions.</w:t>
      </w:r>
      <w:r w:rsidRPr="700AF54E" w:rsidR="7501C9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We think that shifting the funds</w:t>
      </w:r>
      <w:r w:rsidRPr="700AF54E" w:rsidR="7501C9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given in favor of research is better </w:t>
      </w:r>
      <w:r w:rsidRPr="700AF54E" w:rsidR="11D27F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than trying to solve any problem with primitive methods. </w:t>
      </w:r>
      <w:r w:rsidRPr="700AF54E" w:rsidR="267ED6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We saw that</w:t>
      </w:r>
      <w:r w:rsidRPr="700AF54E" w:rsidR="633D8B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, with help; saving the day </w:t>
      </w:r>
      <w:r w:rsidRPr="700AF54E" w:rsidR="633D8B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wouldn’t</w:t>
      </w:r>
      <w:r w:rsidRPr="700AF54E" w:rsidR="633D8B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be any better than working for tomorrow. Our aim in this reunification</w:t>
      </w:r>
      <w:r w:rsidRPr="700AF54E" w:rsidR="497657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is to </w:t>
      </w:r>
      <w:r w:rsidRPr="700AF54E" w:rsidR="497657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mainly promote</w:t>
      </w:r>
      <w:r w:rsidRPr="700AF54E" w:rsidR="26DC22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circularity in economy,</w:t>
      </w:r>
      <w:r w:rsidRPr="700AF54E" w:rsidR="497657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research</w:t>
      </w:r>
      <w:r w:rsidRPr="700AF54E" w:rsidR="58EB53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, </w:t>
      </w:r>
      <w:r w:rsidRPr="700AF54E" w:rsidR="58EB53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recycling</w:t>
      </w:r>
      <w:r w:rsidRPr="700AF54E" w:rsidR="497657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and investment</w:t>
      </w:r>
      <w:r w:rsidRPr="700AF54E" w:rsidR="003DA1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while keeping stability </w:t>
      </w:r>
      <w:r w:rsidRPr="700AF54E" w:rsidR="5316CB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for other subjects.</w:t>
      </w:r>
      <w:r w:rsidRPr="700AF54E" w:rsidR="792D06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We expect from the ECOSOC to be in favor of these ideas </w:t>
      </w:r>
      <w:r w:rsidRPr="700AF54E" w:rsidR="569D1C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and understand that these solutions would </w:t>
      </w:r>
      <w:r w:rsidRPr="700AF54E" w:rsidR="569D1C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impact</w:t>
      </w:r>
      <w:r w:rsidRPr="700AF54E" w:rsidR="569D1C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700AF54E" w:rsidR="4D966F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the</w:t>
      </w:r>
      <w:r w:rsidRPr="700AF54E" w:rsidR="569D1C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future.</w:t>
      </w:r>
      <w:r>
        <w:br/>
      </w:r>
      <w:r>
        <w:br/>
      </w:r>
      <w:hyperlink r:id="R4ff452f0435742b0">
        <w:r w:rsidRPr="700AF54E" w:rsidR="5CF906D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https://www.sgi-network.org/2024/The_Netherlands/Economic_Sustainability</w:t>
        </w:r>
        <w:r>
          <w:br/>
        </w:r>
      </w:hyperlink>
      <w:hyperlink r:id="R3445cba8b4e54696">
        <w:r w:rsidRPr="700AF54E" w:rsidR="740B1C54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https://www.ams-institute.org/entrepreneurship/amsterdam-circular/</w:t>
        </w:r>
        <w:r>
          <w:br/>
        </w:r>
      </w:hyperlink>
      <w:hyperlink r:id="R0d1b3fd1f7af43df">
        <w:r w:rsidRPr="700AF54E" w:rsidR="0C48D541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https://www.tudelft.nl/innovatie-impact/home-of-innovation/special/the-green-village</w:t>
        </w:r>
        <w:r>
          <w:br/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56EFEA"/>
    <w:rsid w:val="001D8D59"/>
    <w:rsid w:val="003DA1B8"/>
    <w:rsid w:val="00D06AF2"/>
    <w:rsid w:val="00DAAD36"/>
    <w:rsid w:val="02C5EC9D"/>
    <w:rsid w:val="04D60DB8"/>
    <w:rsid w:val="057D2D58"/>
    <w:rsid w:val="05D20AB0"/>
    <w:rsid w:val="061A525B"/>
    <w:rsid w:val="06263744"/>
    <w:rsid w:val="0842CCC8"/>
    <w:rsid w:val="09EF0C3E"/>
    <w:rsid w:val="0A68BFE3"/>
    <w:rsid w:val="0B825322"/>
    <w:rsid w:val="0C48D541"/>
    <w:rsid w:val="0DAEACC7"/>
    <w:rsid w:val="0F319832"/>
    <w:rsid w:val="0F41AEC4"/>
    <w:rsid w:val="0F5DDE60"/>
    <w:rsid w:val="10200EFA"/>
    <w:rsid w:val="11A24C2F"/>
    <w:rsid w:val="11C1B64D"/>
    <w:rsid w:val="11D27FE3"/>
    <w:rsid w:val="13F0B7C6"/>
    <w:rsid w:val="146A4912"/>
    <w:rsid w:val="15A85E6F"/>
    <w:rsid w:val="15B4CDDD"/>
    <w:rsid w:val="1664B650"/>
    <w:rsid w:val="16FD01BF"/>
    <w:rsid w:val="1715A8C7"/>
    <w:rsid w:val="17AFB3B4"/>
    <w:rsid w:val="17E73DE0"/>
    <w:rsid w:val="182601CD"/>
    <w:rsid w:val="18B4E3C4"/>
    <w:rsid w:val="19049AEC"/>
    <w:rsid w:val="192559BF"/>
    <w:rsid w:val="198317FE"/>
    <w:rsid w:val="1B852F28"/>
    <w:rsid w:val="1C4C0596"/>
    <w:rsid w:val="1CA8DBCE"/>
    <w:rsid w:val="1F0B9508"/>
    <w:rsid w:val="20307590"/>
    <w:rsid w:val="212EE1D4"/>
    <w:rsid w:val="22678F16"/>
    <w:rsid w:val="22C99346"/>
    <w:rsid w:val="2409808E"/>
    <w:rsid w:val="24155E3A"/>
    <w:rsid w:val="2507C0CA"/>
    <w:rsid w:val="25B3BF51"/>
    <w:rsid w:val="2600049F"/>
    <w:rsid w:val="267ED65C"/>
    <w:rsid w:val="26ACA01D"/>
    <w:rsid w:val="26DC22F7"/>
    <w:rsid w:val="27819D4E"/>
    <w:rsid w:val="27C77A4E"/>
    <w:rsid w:val="281F80E0"/>
    <w:rsid w:val="28C6F4A2"/>
    <w:rsid w:val="28D28E12"/>
    <w:rsid w:val="28FB4605"/>
    <w:rsid w:val="2ABC7E15"/>
    <w:rsid w:val="2B668705"/>
    <w:rsid w:val="2BE3353B"/>
    <w:rsid w:val="2ED8C6ED"/>
    <w:rsid w:val="2F484DC6"/>
    <w:rsid w:val="2F69144B"/>
    <w:rsid w:val="2F8A5464"/>
    <w:rsid w:val="306EEB17"/>
    <w:rsid w:val="30B98094"/>
    <w:rsid w:val="3234780D"/>
    <w:rsid w:val="3274F4B1"/>
    <w:rsid w:val="32D1CE72"/>
    <w:rsid w:val="3369F7FF"/>
    <w:rsid w:val="33B9A552"/>
    <w:rsid w:val="33CE9B5B"/>
    <w:rsid w:val="35B5A1B1"/>
    <w:rsid w:val="35DA114D"/>
    <w:rsid w:val="3743D07F"/>
    <w:rsid w:val="383F2B7B"/>
    <w:rsid w:val="3879EA14"/>
    <w:rsid w:val="3A2BF5F9"/>
    <w:rsid w:val="3C32CBFF"/>
    <w:rsid w:val="3DE4F985"/>
    <w:rsid w:val="3DFD2C45"/>
    <w:rsid w:val="3E0D34C9"/>
    <w:rsid w:val="3E3602E7"/>
    <w:rsid w:val="3F2801E4"/>
    <w:rsid w:val="40B1388A"/>
    <w:rsid w:val="40D54EFF"/>
    <w:rsid w:val="412323D5"/>
    <w:rsid w:val="416727BE"/>
    <w:rsid w:val="421C9435"/>
    <w:rsid w:val="42DA879A"/>
    <w:rsid w:val="438057BF"/>
    <w:rsid w:val="43E6CF8F"/>
    <w:rsid w:val="440608EE"/>
    <w:rsid w:val="44AE05AE"/>
    <w:rsid w:val="44DDBF34"/>
    <w:rsid w:val="45975D96"/>
    <w:rsid w:val="45A3F0CD"/>
    <w:rsid w:val="46D8A393"/>
    <w:rsid w:val="4732D8EB"/>
    <w:rsid w:val="479C03EE"/>
    <w:rsid w:val="488B41DE"/>
    <w:rsid w:val="496CA481"/>
    <w:rsid w:val="49765784"/>
    <w:rsid w:val="49AC5736"/>
    <w:rsid w:val="4A02DD0D"/>
    <w:rsid w:val="4AC0689C"/>
    <w:rsid w:val="4B2235C0"/>
    <w:rsid w:val="4B8B55B4"/>
    <w:rsid w:val="4D966FA3"/>
    <w:rsid w:val="4E33C448"/>
    <w:rsid w:val="4E56EFEA"/>
    <w:rsid w:val="4E882602"/>
    <w:rsid w:val="4F5C7A0D"/>
    <w:rsid w:val="51F1A28B"/>
    <w:rsid w:val="52D357AC"/>
    <w:rsid w:val="5306F06F"/>
    <w:rsid w:val="5316CB0F"/>
    <w:rsid w:val="543605B4"/>
    <w:rsid w:val="54658E31"/>
    <w:rsid w:val="56694E9C"/>
    <w:rsid w:val="569D1C85"/>
    <w:rsid w:val="569D7039"/>
    <w:rsid w:val="56CE56B4"/>
    <w:rsid w:val="570759FF"/>
    <w:rsid w:val="5733DFA2"/>
    <w:rsid w:val="57FB6AAD"/>
    <w:rsid w:val="58EB5336"/>
    <w:rsid w:val="59D02871"/>
    <w:rsid w:val="59F52B58"/>
    <w:rsid w:val="5AEE6BBF"/>
    <w:rsid w:val="5BE533BC"/>
    <w:rsid w:val="5C0A175F"/>
    <w:rsid w:val="5C7EC0D4"/>
    <w:rsid w:val="5CF906DE"/>
    <w:rsid w:val="61103068"/>
    <w:rsid w:val="615A186A"/>
    <w:rsid w:val="62BEA1B4"/>
    <w:rsid w:val="633D8B36"/>
    <w:rsid w:val="6363145A"/>
    <w:rsid w:val="638F8BB8"/>
    <w:rsid w:val="64DD51B9"/>
    <w:rsid w:val="66F0F6EF"/>
    <w:rsid w:val="67353327"/>
    <w:rsid w:val="67B11AD6"/>
    <w:rsid w:val="6802A875"/>
    <w:rsid w:val="6849FCA9"/>
    <w:rsid w:val="68A4C084"/>
    <w:rsid w:val="6905CECC"/>
    <w:rsid w:val="69696586"/>
    <w:rsid w:val="69FE050F"/>
    <w:rsid w:val="6A26C71A"/>
    <w:rsid w:val="6B9CD2C7"/>
    <w:rsid w:val="6CBEB771"/>
    <w:rsid w:val="6ED3B068"/>
    <w:rsid w:val="6F285E10"/>
    <w:rsid w:val="6F497055"/>
    <w:rsid w:val="6FB4CC9C"/>
    <w:rsid w:val="700AF54E"/>
    <w:rsid w:val="71683519"/>
    <w:rsid w:val="7222711F"/>
    <w:rsid w:val="725CD063"/>
    <w:rsid w:val="72CD010F"/>
    <w:rsid w:val="740B1C54"/>
    <w:rsid w:val="74C82342"/>
    <w:rsid w:val="7501C96F"/>
    <w:rsid w:val="75E55E48"/>
    <w:rsid w:val="76F71CBC"/>
    <w:rsid w:val="77DDC8B7"/>
    <w:rsid w:val="78502D9F"/>
    <w:rsid w:val="792D0609"/>
    <w:rsid w:val="79C17DB8"/>
    <w:rsid w:val="7CE30006"/>
    <w:rsid w:val="7E059A80"/>
    <w:rsid w:val="7F6CA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EFEA"/>
  <w15:chartTrackingRefBased/>
  <w15:docId w15:val="{A9655801-4F60-4C30-A54B-C4A82B313A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00AF54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6f1ef0d839e44386" /><Relationship Type="http://schemas.openxmlformats.org/officeDocument/2006/relationships/image" Target="/media/image4.png" Id="R6d3d8e0eeb784153" /><Relationship Type="http://schemas.openxmlformats.org/officeDocument/2006/relationships/hyperlink" Target="https://www.sgi-network.org/2024/The_Netherlands/Economic_Sustainability" TargetMode="External" Id="R4ff452f0435742b0" /><Relationship Type="http://schemas.openxmlformats.org/officeDocument/2006/relationships/hyperlink" Target="https://www.ams-institute.org/entrepreneurship/amsterdam-circular/" TargetMode="External" Id="R3445cba8b4e54696" /><Relationship Type="http://schemas.openxmlformats.org/officeDocument/2006/relationships/hyperlink" Target="https://www.tudelft.nl/innovatie-impact/home-of-innovation/special/the-green-village" TargetMode="External" Id="R0d1b3fd1f7af43d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2025-03-31T11:16:24.0387411Z</dcterms:created>
  <dcterms:modified xsi:type="dcterms:W3CDTF">2025-04-02T14:57:19.6448834Z</dcterms:modified>
  <dc:creator>No Clue AT ALL</dc:creator>
  <lastModifiedBy>No Clue AT ALL</lastModifiedBy>
</coreProperties>
</file>