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3"/>
        <w:gridCol w:w="3258"/>
        <w:gridCol w:w="3794"/>
      </w:tblGrid>
      <w:tr w:rsidR="00926F8D" w:rsidRPr="00AC489A" w14:paraId="3394D144" w14:textId="77777777" w:rsidTr="00DC792D">
        <w:trPr>
          <w:trHeight w:val="423"/>
        </w:trPr>
        <w:tc>
          <w:tcPr>
            <w:tcW w:w="3563" w:type="dxa"/>
            <w:vMerge w:val="restart"/>
          </w:tcPr>
          <w:p w14:paraId="38408C24" w14:textId="1FD554A1" w:rsidR="00676275" w:rsidRPr="00AC489A" w:rsidRDefault="00926F8D" w:rsidP="00692155">
            <w:pPr>
              <w:pStyle w:val="NormalWeb"/>
              <w:rPr>
                <w:lang w:val="en-GB"/>
              </w:rPr>
            </w:pPr>
            <w:r w:rsidRPr="00AC489A">
              <w:rPr>
                <w:lang w:val="en-GB"/>
              </w:rPr>
              <w:drawing>
                <wp:inline distT="0" distB="0" distL="0" distR="0" wp14:anchorId="6BFA2740" wp14:editId="265661F9">
                  <wp:extent cx="1822450" cy="1822450"/>
                  <wp:effectExtent l="0" t="0" r="0" b="0"/>
                  <wp:docPr id="190689862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2450" cy="1822450"/>
                          </a:xfrm>
                          <a:prstGeom prst="rect">
                            <a:avLst/>
                          </a:prstGeom>
                          <a:noFill/>
                          <a:ln>
                            <a:noFill/>
                          </a:ln>
                        </pic:spPr>
                      </pic:pic>
                    </a:graphicData>
                  </a:graphic>
                </wp:inline>
              </w:drawing>
            </w:r>
          </w:p>
        </w:tc>
        <w:tc>
          <w:tcPr>
            <w:tcW w:w="3258" w:type="dxa"/>
          </w:tcPr>
          <w:p w14:paraId="1F4D23E9" w14:textId="77777777" w:rsidR="00676275" w:rsidRPr="00AC489A" w:rsidRDefault="00676275">
            <w:pPr>
              <w:rPr>
                <w:lang w:val="en-GB"/>
              </w:rPr>
            </w:pPr>
          </w:p>
        </w:tc>
        <w:tc>
          <w:tcPr>
            <w:tcW w:w="3794" w:type="dxa"/>
          </w:tcPr>
          <w:p w14:paraId="6D676B85" w14:textId="77777777" w:rsidR="00676275" w:rsidRPr="00AC489A" w:rsidRDefault="00676275">
            <w:pPr>
              <w:rPr>
                <w:lang w:val="en-GB"/>
              </w:rPr>
            </w:pPr>
          </w:p>
        </w:tc>
      </w:tr>
      <w:tr w:rsidR="00926F8D" w:rsidRPr="00AC489A" w14:paraId="5556FBEE" w14:textId="77777777" w:rsidTr="00AA6D99">
        <w:trPr>
          <w:trHeight w:val="119"/>
        </w:trPr>
        <w:tc>
          <w:tcPr>
            <w:tcW w:w="3563" w:type="dxa"/>
            <w:vMerge/>
          </w:tcPr>
          <w:p w14:paraId="6F2CF298" w14:textId="77777777" w:rsidR="00676275" w:rsidRPr="00AC489A" w:rsidRDefault="00676275">
            <w:pPr>
              <w:rPr>
                <w:lang w:val="en-GB"/>
              </w:rPr>
            </w:pPr>
          </w:p>
        </w:tc>
        <w:tc>
          <w:tcPr>
            <w:tcW w:w="3258" w:type="dxa"/>
          </w:tcPr>
          <w:p w14:paraId="2A63A9B5" w14:textId="269F3FD7" w:rsidR="00676275" w:rsidRPr="00AC489A" w:rsidRDefault="00DC792D" w:rsidP="00685F34">
            <w:pPr>
              <w:jc w:val="center"/>
              <w:rPr>
                <w:rFonts w:ascii="Times New Roman" w:hAnsi="Times New Roman" w:cs="Times New Roman"/>
                <w:lang w:val="en-GB"/>
              </w:rPr>
            </w:pPr>
            <w:r w:rsidRPr="00AC489A">
              <w:rPr>
                <w:rFonts w:ascii="Times New Roman" w:hAnsi="Times New Roman" w:cs="Times New Roman"/>
                <w:lang w:val="en-GB"/>
              </w:rPr>
              <w:t>SPECPOL CANADA</w:t>
            </w:r>
            <w:r w:rsidRPr="00AC489A">
              <w:rPr>
                <w:lang w:val="en-GB"/>
              </w:rPr>
              <w:t xml:space="preserve"> </w:t>
            </w:r>
            <w:r w:rsidR="00D01A5C" w:rsidRPr="00AC489A">
              <w:rPr>
                <w:rFonts w:ascii="Times New Roman" w:hAnsi="Times New Roman" w:cs="Times New Roman"/>
                <w:lang w:val="en-GB"/>
              </w:rPr>
              <w:t>POSİTİON PAPER</w:t>
            </w:r>
          </w:p>
        </w:tc>
        <w:tc>
          <w:tcPr>
            <w:tcW w:w="3794" w:type="dxa"/>
          </w:tcPr>
          <w:p w14:paraId="4C723B3A" w14:textId="15532AC3" w:rsidR="00676275" w:rsidRPr="00AC489A" w:rsidRDefault="00E60B67">
            <w:pPr>
              <w:rPr>
                <w:lang w:val="en-GB"/>
              </w:rPr>
            </w:pPr>
            <w:r w:rsidRPr="00AC489A">
              <w:rPr>
                <w:rFonts w:ascii="Times New Roman" w:hAnsi="Times New Roman" w:cs="Times New Roman"/>
                <w:lang w:val="en-GB"/>
              </w:rPr>
              <w:drawing>
                <wp:inline distT="0" distB="0" distL="0" distR="0" wp14:anchorId="329C2DCB" wp14:editId="4BB14161">
                  <wp:extent cx="2159000" cy="1079500"/>
                  <wp:effectExtent l="0" t="0" r="0" b="6350"/>
                  <wp:docPr id="1286014762" name="Resim 3" descr="kırmızı, karm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14762" name="Resim 3" descr="kırmızı, karmin içeren bir resim&#10;&#10;Yapay zeka tarafından oluşturulmuş içerik yanlış olabil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0" cy="1079500"/>
                          </a:xfrm>
                          <a:prstGeom prst="rect">
                            <a:avLst/>
                          </a:prstGeom>
                          <a:noFill/>
                        </pic:spPr>
                      </pic:pic>
                    </a:graphicData>
                  </a:graphic>
                </wp:inline>
              </w:drawing>
            </w:r>
          </w:p>
        </w:tc>
      </w:tr>
      <w:tr w:rsidR="00926F8D" w:rsidRPr="00AC489A" w14:paraId="0779CBE3" w14:textId="77777777" w:rsidTr="00AA6D99">
        <w:trPr>
          <w:trHeight w:val="809"/>
        </w:trPr>
        <w:tc>
          <w:tcPr>
            <w:tcW w:w="3563" w:type="dxa"/>
            <w:vMerge/>
          </w:tcPr>
          <w:p w14:paraId="050BCDD4" w14:textId="77777777" w:rsidR="00676275" w:rsidRPr="00AC489A" w:rsidRDefault="00676275">
            <w:pPr>
              <w:rPr>
                <w:lang w:val="en-GB"/>
              </w:rPr>
            </w:pPr>
          </w:p>
        </w:tc>
        <w:tc>
          <w:tcPr>
            <w:tcW w:w="3258" w:type="dxa"/>
          </w:tcPr>
          <w:p w14:paraId="30E3F4DD" w14:textId="07B049A8" w:rsidR="00676275" w:rsidRPr="00AC489A" w:rsidRDefault="00FC4621">
            <w:pPr>
              <w:rPr>
                <w:lang w:val="en-GB"/>
              </w:rPr>
            </w:pPr>
            <w:r w:rsidRPr="00AC489A">
              <w:rPr>
                <w:lang w:val="en-GB"/>
              </w:rPr>
              <w:t xml:space="preserve">                                          </w:t>
            </w:r>
          </w:p>
        </w:tc>
        <w:tc>
          <w:tcPr>
            <w:tcW w:w="3794" w:type="dxa"/>
          </w:tcPr>
          <w:p w14:paraId="34359AA0" w14:textId="77777777" w:rsidR="00676275" w:rsidRPr="00AC489A" w:rsidRDefault="00676275">
            <w:pPr>
              <w:rPr>
                <w:lang w:val="en-GB"/>
              </w:rPr>
            </w:pPr>
          </w:p>
        </w:tc>
      </w:tr>
    </w:tbl>
    <w:p w14:paraId="6607EF6E" w14:textId="77777777" w:rsidR="005B70DE" w:rsidRPr="00AC489A" w:rsidRDefault="005B70DE" w:rsidP="00733AC5">
      <w:pPr>
        <w:jc w:val="both"/>
        <w:rPr>
          <w:rFonts w:ascii="Times New Roman" w:hAnsi="Times New Roman" w:cs="Times New Roman"/>
          <w:lang w:val="en-GB"/>
        </w:rPr>
      </w:pPr>
      <w:proofErr w:type="spellStart"/>
      <w:proofErr w:type="gramStart"/>
      <w:r w:rsidRPr="00AC489A">
        <w:rPr>
          <w:rFonts w:ascii="Times New Roman" w:hAnsi="Times New Roman" w:cs="Times New Roman"/>
          <w:lang w:val="en-GB"/>
        </w:rPr>
        <w:t>Comitee:Specpol</w:t>
      </w:r>
      <w:proofErr w:type="spellEnd"/>
      <w:proofErr w:type="gramEnd"/>
    </w:p>
    <w:p w14:paraId="7126E47F" w14:textId="079E7C01" w:rsidR="005B70DE" w:rsidRPr="00AC489A" w:rsidRDefault="005B70DE" w:rsidP="00733AC5">
      <w:pPr>
        <w:jc w:val="both"/>
        <w:rPr>
          <w:rFonts w:ascii="Times New Roman" w:hAnsi="Times New Roman" w:cs="Times New Roman"/>
          <w:lang w:val="en-GB"/>
        </w:rPr>
      </w:pPr>
      <w:proofErr w:type="spellStart"/>
      <w:proofErr w:type="gramStart"/>
      <w:r w:rsidRPr="00AC489A">
        <w:rPr>
          <w:rFonts w:ascii="Times New Roman" w:hAnsi="Times New Roman" w:cs="Times New Roman"/>
          <w:lang w:val="en-GB"/>
        </w:rPr>
        <w:t>Country:Canada</w:t>
      </w:r>
      <w:proofErr w:type="spellEnd"/>
      <w:proofErr w:type="gramEnd"/>
    </w:p>
    <w:p w14:paraId="7C18D66B" w14:textId="77777777" w:rsidR="005B70DE" w:rsidRPr="00AC489A" w:rsidRDefault="005B70DE" w:rsidP="00733AC5">
      <w:pPr>
        <w:spacing w:after="120"/>
        <w:jc w:val="both"/>
        <w:rPr>
          <w:rFonts w:ascii="Times New Roman" w:hAnsi="Times New Roman" w:cs="Times New Roman"/>
          <w:lang w:val="en-GB"/>
        </w:rPr>
      </w:pPr>
      <w:r w:rsidRPr="00AC489A">
        <w:rPr>
          <w:rFonts w:ascii="Times New Roman" w:hAnsi="Times New Roman" w:cs="Times New Roman"/>
          <w:lang w:val="en-GB"/>
        </w:rPr>
        <w:t>Topic: Reconstruction and Development in Post-Conflict Regions</w:t>
      </w:r>
    </w:p>
    <w:p w14:paraId="4683DAC4" w14:textId="5A1941AF" w:rsidR="008A71D6" w:rsidRPr="00AC489A" w:rsidRDefault="005B70DE" w:rsidP="00DC612B">
      <w:pPr>
        <w:spacing w:after="120"/>
        <w:ind w:firstLine="708"/>
        <w:jc w:val="both"/>
        <w:rPr>
          <w:rFonts w:ascii="Times New Roman" w:hAnsi="Times New Roman" w:cs="Times New Roman"/>
          <w:lang w:val="en-GB"/>
        </w:rPr>
      </w:pPr>
      <w:r w:rsidRPr="00AC489A">
        <w:rPr>
          <w:rFonts w:ascii="Times New Roman" w:hAnsi="Times New Roman" w:cs="Times New Roman"/>
          <w:lang w:val="en-GB"/>
        </w:rPr>
        <w:t xml:space="preserve">Several communities reside in Canada, a calm and peaceful nation. Life in Canada is considered serene, and people feel secure. For this reason, we recognize the value of assisting people who have been victims of war. Canada collaborates with the UN and advocates for the right to education, human rights, and </w:t>
      </w:r>
      <w:r w:rsidR="00AC489A" w:rsidRPr="00AC489A">
        <w:rPr>
          <w:rFonts w:ascii="Times New Roman" w:hAnsi="Times New Roman" w:cs="Times New Roman"/>
          <w:lang w:val="en-GB"/>
        </w:rPr>
        <w:t>peace. When</w:t>
      </w:r>
      <w:r w:rsidRPr="00AC489A">
        <w:rPr>
          <w:rFonts w:ascii="Times New Roman" w:hAnsi="Times New Roman" w:cs="Times New Roman"/>
          <w:lang w:val="en-GB"/>
        </w:rPr>
        <w:t xml:space="preserve"> a war finishes, the problems certainly do not. Losing homes, children not being able to attend school, and a complete lack of clean water for the people are all realities. Canada has the experience to know that the process of rebuilding lost trust and took time.</w:t>
      </w:r>
      <w:r w:rsidR="002E26B0" w:rsidRPr="00AC489A">
        <w:rPr>
          <w:lang w:val="en-GB"/>
        </w:rPr>
        <w:t xml:space="preserve"> </w:t>
      </w:r>
      <w:r w:rsidR="002E26B0" w:rsidRPr="00AC489A">
        <w:rPr>
          <w:rFonts w:ascii="Times New Roman" w:hAnsi="Times New Roman" w:cs="Times New Roman"/>
          <w:lang w:val="en-GB"/>
        </w:rPr>
        <w:t>Delegation of Canada is ready to work with other countries and UN.</w:t>
      </w:r>
    </w:p>
    <w:p w14:paraId="613083D3" w14:textId="77777777" w:rsidR="0081084D" w:rsidRPr="00AC489A" w:rsidRDefault="0081084D" w:rsidP="00733AC5">
      <w:pPr>
        <w:spacing w:after="120"/>
        <w:jc w:val="both"/>
        <w:rPr>
          <w:rFonts w:ascii="Times New Roman" w:hAnsi="Times New Roman" w:cs="Times New Roman"/>
          <w:lang w:val="en-GB"/>
        </w:rPr>
      </w:pPr>
    </w:p>
    <w:p w14:paraId="5C4D925A" w14:textId="6358570E" w:rsidR="0081084D" w:rsidRPr="00AC489A" w:rsidRDefault="005B70DE" w:rsidP="00DC612B">
      <w:pPr>
        <w:spacing w:after="120"/>
        <w:ind w:firstLine="708"/>
        <w:jc w:val="both"/>
        <w:rPr>
          <w:rFonts w:ascii="Times New Roman" w:hAnsi="Times New Roman" w:cs="Times New Roman"/>
          <w:lang w:val="en-GB"/>
        </w:rPr>
      </w:pPr>
      <w:r w:rsidRPr="00AC489A">
        <w:rPr>
          <w:rFonts w:ascii="Times New Roman" w:hAnsi="Times New Roman" w:cs="Times New Roman"/>
          <w:lang w:val="en-GB"/>
        </w:rPr>
        <w:t xml:space="preserve">Canada has been assisting countries such as Haiti and South Sudan by rebuilding schools, installing water systems, and providing adequate training to local staff. For Canada, rebuilding means so much more than constructing new structures and mitigation of the visible problems. For the people, it is about providing a tangible sense of safety and hope that the government and both local and global communities are caring and involved. Canada has witnessed this in numerous areas and is determined to ensure more equitable rebuilding for the </w:t>
      </w:r>
      <w:r w:rsidR="00AC489A" w:rsidRPr="00AC489A">
        <w:rPr>
          <w:rFonts w:ascii="Times New Roman" w:hAnsi="Times New Roman" w:cs="Times New Roman"/>
          <w:lang w:val="en-GB"/>
        </w:rPr>
        <w:t>future. Rebuilding</w:t>
      </w:r>
      <w:r w:rsidRPr="00AC489A">
        <w:rPr>
          <w:rFonts w:ascii="Times New Roman" w:hAnsi="Times New Roman" w:cs="Times New Roman"/>
          <w:lang w:val="en-GB"/>
        </w:rPr>
        <w:t xml:space="preserve"> processes need to be handled the right way and Canada values economy, efficiency and transparency. If funds are abused, people become disillusioned. Canada calls for coordinated action from the UN, political leaders, and civil society, rather than unilateral action. </w:t>
      </w:r>
    </w:p>
    <w:p w14:paraId="7534F4C8" w14:textId="77777777" w:rsidR="0081084D" w:rsidRPr="00AC489A" w:rsidRDefault="0081084D" w:rsidP="00733AC5">
      <w:pPr>
        <w:spacing w:after="120"/>
        <w:jc w:val="both"/>
        <w:rPr>
          <w:rFonts w:ascii="Times New Roman" w:hAnsi="Times New Roman" w:cs="Times New Roman"/>
          <w:lang w:val="en-GB"/>
        </w:rPr>
      </w:pPr>
    </w:p>
    <w:p w14:paraId="59F8A126" w14:textId="0B9F92D2" w:rsidR="005B70DE" w:rsidRPr="00AC489A" w:rsidRDefault="005B70DE" w:rsidP="00733AC5">
      <w:pPr>
        <w:spacing w:after="120"/>
        <w:jc w:val="both"/>
        <w:rPr>
          <w:rFonts w:ascii="Times New Roman" w:hAnsi="Times New Roman" w:cs="Times New Roman"/>
          <w:lang w:val="en-GB"/>
        </w:rPr>
      </w:pPr>
      <w:r w:rsidRPr="00AC489A">
        <w:rPr>
          <w:rFonts w:ascii="Times New Roman" w:hAnsi="Times New Roman" w:cs="Times New Roman"/>
          <w:lang w:val="en-GB"/>
        </w:rPr>
        <w:t>Canada has proposed three initiatives. Local Leadership</w:t>
      </w:r>
    </w:p>
    <w:p w14:paraId="324B2677" w14:textId="77777777" w:rsidR="005B70DE" w:rsidRPr="00AC489A" w:rsidRDefault="005B70DE" w:rsidP="00733AC5">
      <w:pPr>
        <w:spacing w:after="120"/>
        <w:jc w:val="both"/>
        <w:rPr>
          <w:rFonts w:ascii="Times New Roman" w:hAnsi="Times New Roman" w:cs="Times New Roman"/>
          <w:lang w:val="en-GB"/>
        </w:rPr>
      </w:pPr>
      <w:r w:rsidRPr="00AC489A">
        <w:rPr>
          <w:rFonts w:ascii="Times New Roman" w:hAnsi="Times New Roman" w:cs="Times New Roman"/>
          <w:lang w:val="en-GB"/>
        </w:rPr>
        <w:t xml:space="preserve"> - Educational and community ownership through the participation of youth and women in rebuilding. Green and Safe Infrastructure</w:t>
      </w:r>
    </w:p>
    <w:p w14:paraId="080F8025" w14:textId="29C323B8" w:rsidR="005B70DE" w:rsidRPr="00AC489A" w:rsidRDefault="005B70DE" w:rsidP="00733AC5">
      <w:pPr>
        <w:spacing w:after="120"/>
        <w:jc w:val="both"/>
        <w:rPr>
          <w:rFonts w:ascii="Times New Roman" w:hAnsi="Times New Roman" w:cs="Times New Roman"/>
          <w:lang w:val="en-GB"/>
        </w:rPr>
      </w:pPr>
      <w:r w:rsidRPr="00AC489A">
        <w:rPr>
          <w:rFonts w:ascii="Times New Roman" w:hAnsi="Times New Roman" w:cs="Times New Roman"/>
          <w:lang w:val="en-GB"/>
        </w:rPr>
        <w:t xml:space="preserve"> - The construction of schools and housing should use renewable </w:t>
      </w:r>
      <w:r w:rsidR="00AC489A" w:rsidRPr="00AC489A">
        <w:rPr>
          <w:rFonts w:ascii="Times New Roman" w:hAnsi="Times New Roman" w:cs="Times New Roman"/>
          <w:lang w:val="en-GB"/>
        </w:rPr>
        <w:t>energy and</w:t>
      </w:r>
      <w:r w:rsidRPr="00AC489A">
        <w:rPr>
          <w:rFonts w:ascii="Times New Roman" w:hAnsi="Times New Roman" w:cs="Times New Roman"/>
          <w:lang w:val="en-GB"/>
        </w:rPr>
        <w:t xml:space="preserve"> be made from climate friendly building materials. Digital Learning Corners </w:t>
      </w:r>
    </w:p>
    <w:p w14:paraId="3F650668" w14:textId="1E33BC3B" w:rsidR="0018576E" w:rsidRPr="00AC489A" w:rsidRDefault="005B70DE" w:rsidP="00733AC5">
      <w:pPr>
        <w:spacing w:after="120"/>
        <w:jc w:val="both"/>
        <w:rPr>
          <w:rFonts w:ascii="Times New Roman" w:hAnsi="Times New Roman" w:cs="Times New Roman"/>
          <w:lang w:val="en-GB"/>
        </w:rPr>
      </w:pPr>
      <w:r w:rsidRPr="00AC489A">
        <w:rPr>
          <w:rFonts w:ascii="Times New Roman" w:hAnsi="Times New Roman" w:cs="Times New Roman"/>
          <w:lang w:val="en-GB"/>
        </w:rPr>
        <w:t>- Setting up small learning hubs in areas where schools are destroyed allows children to continue their education. Canada is willing to contribute to the positive peace effort, share their experience, and cooperate with other nations.</w:t>
      </w:r>
    </w:p>
    <w:p w14:paraId="3CAE5E1C" w14:textId="29812CA2" w:rsidR="009A1CD2" w:rsidRPr="00AC489A" w:rsidRDefault="005B70DE" w:rsidP="00DC612B">
      <w:pPr>
        <w:spacing w:after="120"/>
        <w:ind w:firstLine="708"/>
        <w:jc w:val="both"/>
        <w:rPr>
          <w:rFonts w:ascii="Times New Roman" w:hAnsi="Times New Roman" w:cs="Times New Roman"/>
          <w:lang w:val="en-GB"/>
        </w:rPr>
      </w:pPr>
      <w:r w:rsidRPr="00AC489A">
        <w:rPr>
          <w:rFonts w:ascii="Times New Roman" w:hAnsi="Times New Roman" w:cs="Times New Roman"/>
          <w:lang w:val="en-GB"/>
        </w:rPr>
        <w:t xml:space="preserve">Canada’s </w:t>
      </w:r>
      <w:proofErr w:type="gramStart"/>
      <w:r w:rsidRPr="00AC489A">
        <w:rPr>
          <w:rFonts w:ascii="Times New Roman" w:hAnsi="Times New Roman" w:cs="Times New Roman"/>
          <w:lang w:val="en-GB"/>
        </w:rPr>
        <w:t>ultimate aim</w:t>
      </w:r>
      <w:proofErr w:type="gramEnd"/>
      <w:r w:rsidRPr="00AC489A">
        <w:rPr>
          <w:rFonts w:ascii="Times New Roman" w:hAnsi="Times New Roman" w:cs="Times New Roman"/>
          <w:lang w:val="en-GB"/>
        </w:rPr>
        <w:t xml:space="preserve"> is to give children from conflict-affected areas the protection to go to school, and to dream their hopes for the future. The building of peace. What Canada Wants. First and foremost, Canada believes in restoring the essential humanitarian needs of the people first. Clean and accessible water. Shelter. Safe housing. Schools. Families become more at peace and conflict is reduced when these basic humanitarian needs are met.</w:t>
      </w:r>
    </w:p>
    <w:p w14:paraId="45B621A1" w14:textId="77777777" w:rsidR="00FA10E3" w:rsidRPr="00AC489A" w:rsidRDefault="009E1D99">
      <w:pPr>
        <w:pStyle w:val="p1"/>
        <w:divId w:val="2120291937"/>
        <w:rPr>
          <w:rStyle w:val="s1"/>
          <w:lang w:val="en-GB"/>
        </w:rPr>
      </w:pPr>
      <w:r w:rsidRPr="00AC489A">
        <w:rPr>
          <w:lang w:val="en-GB"/>
        </w:rPr>
        <w:lastRenderedPageBreak/>
        <w:t>Bibliography</w:t>
      </w:r>
      <w:r w:rsidR="00993F95" w:rsidRPr="00AC489A">
        <w:rPr>
          <w:lang w:val="en-GB"/>
        </w:rPr>
        <w:t>:</w:t>
      </w:r>
      <w:r w:rsidR="00993F95" w:rsidRPr="00AC489A">
        <w:rPr>
          <w:rStyle w:val="s1"/>
          <w:lang w:val="en-GB"/>
        </w:rPr>
        <w:t xml:space="preserve"> </w:t>
      </w:r>
    </w:p>
    <w:p w14:paraId="72C93CFD" w14:textId="18746E3F" w:rsidR="00993F95" w:rsidRPr="00AC489A" w:rsidRDefault="00993F95">
      <w:pPr>
        <w:pStyle w:val="p1"/>
        <w:divId w:val="2120291937"/>
        <w:rPr>
          <w:lang w:val="en-GB"/>
        </w:rPr>
      </w:pPr>
      <w:r w:rsidRPr="00AC489A">
        <w:rPr>
          <w:rStyle w:val="s1"/>
          <w:lang w:val="en-GB"/>
        </w:rPr>
        <w:t>1. Global Affairs Canada – International Assistance</w:t>
      </w:r>
    </w:p>
    <w:p w14:paraId="2D359898" w14:textId="77777777" w:rsidR="00993F95" w:rsidRPr="00AC489A" w:rsidRDefault="00993F95">
      <w:pPr>
        <w:pStyle w:val="p1"/>
        <w:divId w:val="2120291937"/>
        <w:rPr>
          <w:lang w:val="en-GB"/>
        </w:rPr>
      </w:pPr>
      <w:r w:rsidRPr="00AC489A">
        <w:rPr>
          <w:rStyle w:val="s2"/>
          <w:lang w:val="en-GB"/>
        </w:rPr>
        <w:t>https://www.international.gc.ca</w:t>
      </w:r>
    </w:p>
    <w:p w14:paraId="34BAD998" w14:textId="77777777" w:rsidR="00993F95" w:rsidRPr="00AC489A" w:rsidRDefault="00993F95">
      <w:pPr>
        <w:pStyle w:val="p1"/>
        <w:divId w:val="2120291937"/>
        <w:rPr>
          <w:lang w:val="en-GB"/>
        </w:rPr>
      </w:pPr>
      <w:r w:rsidRPr="00AC489A">
        <w:rPr>
          <w:rStyle w:val="s1"/>
          <w:lang w:val="en-GB"/>
        </w:rPr>
        <w:t>2. Government of Canada – Canada’s Engagement in Haiti</w:t>
      </w:r>
    </w:p>
    <w:p w14:paraId="7F3A6C2A" w14:textId="77777777" w:rsidR="00993F95" w:rsidRPr="00AC489A" w:rsidRDefault="00993F95">
      <w:pPr>
        <w:pStyle w:val="p1"/>
        <w:divId w:val="2120291937"/>
        <w:rPr>
          <w:lang w:val="en-GB"/>
        </w:rPr>
      </w:pPr>
      <w:r w:rsidRPr="00AC489A">
        <w:rPr>
          <w:rStyle w:val="s2"/>
          <w:lang w:val="en-GB"/>
        </w:rPr>
        <w:t>https://www.international.gc.ca/country-pays/haiti/relations.aspx</w:t>
      </w:r>
    </w:p>
    <w:p w14:paraId="67C6B815" w14:textId="77777777" w:rsidR="00993F95" w:rsidRPr="00AC489A" w:rsidRDefault="00993F95">
      <w:pPr>
        <w:pStyle w:val="p1"/>
        <w:divId w:val="2120291937"/>
        <w:rPr>
          <w:lang w:val="en-GB"/>
        </w:rPr>
      </w:pPr>
      <w:r w:rsidRPr="00AC489A">
        <w:rPr>
          <w:rStyle w:val="s1"/>
          <w:lang w:val="en-GB"/>
        </w:rPr>
        <w:t>3. Government of Canada – Canada’s Support to South Sudan</w:t>
      </w:r>
    </w:p>
    <w:p w14:paraId="4D90E734" w14:textId="77777777" w:rsidR="00993F95" w:rsidRPr="00AC489A" w:rsidRDefault="00993F95">
      <w:pPr>
        <w:pStyle w:val="p1"/>
        <w:divId w:val="2120291937"/>
        <w:rPr>
          <w:lang w:val="en-GB"/>
        </w:rPr>
      </w:pPr>
      <w:r w:rsidRPr="00AC489A">
        <w:rPr>
          <w:rStyle w:val="s2"/>
          <w:lang w:val="en-GB"/>
        </w:rPr>
        <w:t>https://www.international.gc.ca/country-pays/south_sudan-soudan_sud/relations.aspx</w:t>
      </w:r>
    </w:p>
    <w:p w14:paraId="3BEC2F22" w14:textId="77777777" w:rsidR="00993F95" w:rsidRPr="00AC489A" w:rsidRDefault="00993F95">
      <w:pPr>
        <w:pStyle w:val="p1"/>
        <w:divId w:val="2120291937"/>
        <w:rPr>
          <w:lang w:val="en-GB"/>
        </w:rPr>
      </w:pPr>
      <w:r w:rsidRPr="00AC489A">
        <w:rPr>
          <w:rStyle w:val="s1"/>
          <w:lang w:val="en-GB"/>
        </w:rPr>
        <w:t>4. United Nations Peacebuilding Commission</w:t>
      </w:r>
    </w:p>
    <w:p w14:paraId="6ED8FB86" w14:textId="77777777" w:rsidR="00993F95" w:rsidRPr="00AC489A" w:rsidRDefault="00993F95">
      <w:pPr>
        <w:pStyle w:val="p1"/>
        <w:divId w:val="2120291937"/>
        <w:rPr>
          <w:lang w:val="en-GB"/>
        </w:rPr>
      </w:pPr>
      <w:r w:rsidRPr="00AC489A">
        <w:rPr>
          <w:rStyle w:val="s2"/>
          <w:lang w:val="en-GB"/>
        </w:rPr>
        <w:t>https://www.un.org/peacebuilding</w:t>
      </w:r>
    </w:p>
    <w:p w14:paraId="5A227186" w14:textId="77777777" w:rsidR="00993F95" w:rsidRPr="00AC489A" w:rsidRDefault="00993F95">
      <w:pPr>
        <w:pStyle w:val="p1"/>
        <w:divId w:val="2120291937"/>
        <w:rPr>
          <w:lang w:val="en-GB"/>
        </w:rPr>
      </w:pPr>
      <w:r w:rsidRPr="00AC489A">
        <w:rPr>
          <w:rStyle w:val="s1"/>
          <w:lang w:val="en-GB"/>
        </w:rPr>
        <w:t>5. United Nations Development Programme (UNDP) – Crisis Recovery</w:t>
      </w:r>
    </w:p>
    <w:p w14:paraId="766A1345" w14:textId="77777777" w:rsidR="00993F95" w:rsidRPr="00AC489A" w:rsidRDefault="00993F95">
      <w:pPr>
        <w:pStyle w:val="p1"/>
        <w:divId w:val="2120291937"/>
        <w:rPr>
          <w:lang w:val="en-GB"/>
        </w:rPr>
      </w:pPr>
      <w:r w:rsidRPr="00AC489A">
        <w:rPr>
          <w:rStyle w:val="s2"/>
          <w:lang w:val="en-GB"/>
        </w:rPr>
        <w:t>https://www.undp.org/crisis-recovery</w:t>
      </w:r>
    </w:p>
    <w:p w14:paraId="5C2858B7" w14:textId="77777777" w:rsidR="00993F95" w:rsidRPr="00AC489A" w:rsidRDefault="00993F95">
      <w:pPr>
        <w:pStyle w:val="p1"/>
        <w:divId w:val="2120291937"/>
        <w:rPr>
          <w:lang w:val="en-GB"/>
        </w:rPr>
      </w:pPr>
      <w:r w:rsidRPr="00AC489A">
        <w:rPr>
          <w:rStyle w:val="s1"/>
          <w:lang w:val="en-GB"/>
        </w:rPr>
        <w:t>6. UNICEF – Education in Emergencies</w:t>
      </w:r>
    </w:p>
    <w:p w14:paraId="12E03D59" w14:textId="77777777" w:rsidR="00993F95" w:rsidRPr="00AC489A" w:rsidRDefault="00993F95">
      <w:pPr>
        <w:pStyle w:val="p1"/>
        <w:divId w:val="2120291937"/>
        <w:rPr>
          <w:lang w:val="en-GB"/>
        </w:rPr>
      </w:pPr>
      <w:r w:rsidRPr="00AC489A">
        <w:rPr>
          <w:rStyle w:val="s2"/>
          <w:lang w:val="en-GB"/>
        </w:rPr>
        <w:t>https://www.unicef.org/education/emergencies</w:t>
      </w:r>
    </w:p>
    <w:p w14:paraId="3582A4AE" w14:textId="77777777" w:rsidR="00993F95" w:rsidRPr="00AC489A" w:rsidRDefault="00993F95">
      <w:pPr>
        <w:pStyle w:val="p1"/>
        <w:divId w:val="2120291937"/>
        <w:rPr>
          <w:lang w:val="en-GB"/>
        </w:rPr>
      </w:pPr>
      <w:r w:rsidRPr="00AC489A">
        <w:rPr>
          <w:rStyle w:val="s1"/>
          <w:lang w:val="en-GB"/>
        </w:rPr>
        <w:t>7. World Bank – Fragility, Conflict &amp; Violence</w:t>
      </w:r>
    </w:p>
    <w:p w14:paraId="6FF47090" w14:textId="77777777" w:rsidR="00993F95" w:rsidRPr="00AC489A" w:rsidRDefault="00993F95">
      <w:pPr>
        <w:pStyle w:val="p1"/>
        <w:divId w:val="2120291937"/>
        <w:rPr>
          <w:lang w:val="en-GB"/>
        </w:rPr>
      </w:pPr>
      <w:r w:rsidRPr="00AC489A">
        <w:rPr>
          <w:rStyle w:val="s2"/>
          <w:lang w:val="en-GB"/>
        </w:rPr>
        <w:t>https://www.worldbank.org/en/topic/fragilityconflictviolence</w:t>
      </w:r>
    </w:p>
    <w:p w14:paraId="05447924" w14:textId="77777777" w:rsidR="00993F95" w:rsidRPr="00AC489A" w:rsidRDefault="00993F95">
      <w:pPr>
        <w:pStyle w:val="p1"/>
        <w:divId w:val="2120291937"/>
        <w:rPr>
          <w:lang w:val="en-GB"/>
        </w:rPr>
      </w:pPr>
      <w:r w:rsidRPr="00AC489A">
        <w:rPr>
          <w:rStyle w:val="s1"/>
          <w:lang w:val="en-GB"/>
        </w:rPr>
        <w:t>8. OECD – Fragile States and Development Co-operation</w:t>
      </w:r>
    </w:p>
    <w:p w14:paraId="2EE7FC3F" w14:textId="77777777" w:rsidR="00993F95" w:rsidRPr="00AC489A" w:rsidRDefault="00993F95">
      <w:pPr>
        <w:pStyle w:val="p1"/>
        <w:divId w:val="2120291937"/>
        <w:rPr>
          <w:lang w:val="en-GB"/>
        </w:rPr>
      </w:pPr>
      <w:r w:rsidRPr="00AC489A">
        <w:rPr>
          <w:rStyle w:val="s2"/>
          <w:lang w:val="en-GB"/>
        </w:rPr>
        <w:t>https://www.oecd.org/dac/fragile-states/</w:t>
      </w:r>
    </w:p>
    <w:p w14:paraId="5D717A9F" w14:textId="77777777" w:rsidR="00993F95" w:rsidRPr="00AC489A" w:rsidRDefault="00993F95">
      <w:pPr>
        <w:pStyle w:val="p1"/>
        <w:divId w:val="2120291937"/>
        <w:rPr>
          <w:lang w:val="en-GB"/>
        </w:rPr>
      </w:pPr>
      <w:r w:rsidRPr="00AC489A">
        <w:rPr>
          <w:rStyle w:val="s1"/>
          <w:lang w:val="en-GB"/>
        </w:rPr>
        <w:t>9. United Nations – SPECPOL Committee</w:t>
      </w:r>
    </w:p>
    <w:p w14:paraId="657A1088" w14:textId="77777777" w:rsidR="00993F95" w:rsidRPr="00AC489A" w:rsidRDefault="00993F95">
      <w:pPr>
        <w:pStyle w:val="p1"/>
        <w:divId w:val="2120291937"/>
        <w:rPr>
          <w:lang w:val="en-GB"/>
        </w:rPr>
      </w:pPr>
      <w:r w:rsidRPr="00AC489A">
        <w:rPr>
          <w:rStyle w:val="s2"/>
          <w:lang w:val="en-GB"/>
        </w:rPr>
        <w:t>https://www.un.org/en/ga/fourth</w:t>
      </w:r>
    </w:p>
    <w:p w14:paraId="6567D5D8" w14:textId="16D92B64" w:rsidR="009E1D99" w:rsidRPr="00AC489A" w:rsidRDefault="009E1D99" w:rsidP="00733AC5">
      <w:pPr>
        <w:spacing w:after="120"/>
        <w:jc w:val="both"/>
        <w:rPr>
          <w:rFonts w:ascii="Times New Roman" w:hAnsi="Times New Roman" w:cs="Times New Roman"/>
          <w:lang w:val="en-GB"/>
        </w:rPr>
      </w:pPr>
    </w:p>
    <w:p w14:paraId="2F0C5266" w14:textId="77777777" w:rsidR="00993F95" w:rsidRPr="00AC489A" w:rsidRDefault="00993F95" w:rsidP="00733AC5">
      <w:pPr>
        <w:spacing w:after="120"/>
        <w:jc w:val="both"/>
        <w:rPr>
          <w:rFonts w:ascii="Times New Roman" w:hAnsi="Times New Roman" w:cs="Times New Roman"/>
          <w:lang w:val="en-GB"/>
        </w:rPr>
      </w:pPr>
    </w:p>
    <w:sectPr w:rsidR="00993F95" w:rsidRPr="00AC489A" w:rsidSect="00F43A7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62129" w14:textId="77777777" w:rsidR="00F47C39" w:rsidRDefault="00F47C39" w:rsidP="00D223DD">
      <w:pPr>
        <w:spacing w:after="0" w:line="240" w:lineRule="auto"/>
      </w:pPr>
      <w:r>
        <w:separator/>
      </w:r>
    </w:p>
  </w:endnote>
  <w:endnote w:type="continuationSeparator" w:id="0">
    <w:p w14:paraId="6F3830FE" w14:textId="77777777" w:rsidR="00F47C39" w:rsidRDefault="00F47C39" w:rsidP="00D2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62516" w14:textId="77777777" w:rsidR="00D223DD" w:rsidRDefault="00D223D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8C9FF" w14:textId="77777777" w:rsidR="00D223DD" w:rsidRDefault="00D223D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62528" w14:textId="77777777" w:rsidR="00D223DD" w:rsidRDefault="00D223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B766A" w14:textId="77777777" w:rsidR="00F47C39" w:rsidRDefault="00F47C39" w:rsidP="00D223DD">
      <w:pPr>
        <w:spacing w:after="0" w:line="240" w:lineRule="auto"/>
      </w:pPr>
      <w:r>
        <w:separator/>
      </w:r>
    </w:p>
  </w:footnote>
  <w:footnote w:type="continuationSeparator" w:id="0">
    <w:p w14:paraId="4512D2B1" w14:textId="77777777" w:rsidR="00F47C39" w:rsidRDefault="00F47C39" w:rsidP="00D22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E34B8" w14:textId="77777777" w:rsidR="00D223DD" w:rsidRDefault="00D223D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BC975" w14:textId="77777777" w:rsidR="00D223DD" w:rsidRDefault="00D223D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CDC29" w14:textId="77777777" w:rsidR="00D223DD" w:rsidRDefault="00D223D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D2"/>
    <w:rsid w:val="00005465"/>
    <w:rsid w:val="00012CF2"/>
    <w:rsid w:val="00052AD1"/>
    <w:rsid w:val="00073F24"/>
    <w:rsid w:val="00103AB7"/>
    <w:rsid w:val="00141F2B"/>
    <w:rsid w:val="0018576E"/>
    <w:rsid w:val="001E260A"/>
    <w:rsid w:val="00277810"/>
    <w:rsid w:val="002D0A36"/>
    <w:rsid w:val="002E26B0"/>
    <w:rsid w:val="00312370"/>
    <w:rsid w:val="00595AAA"/>
    <w:rsid w:val="00596A7F"/>
    <w:rsid w:val="005B70DE"/>
    <w:rsid w:val="005F3BDF"/>
    <w:rsid w:val="00612723"/>
    <w:rsid w:val="00652282"/>
    <w:rsid w:val="00662899"/>
    <w:rsid w:val="00676275"/>
    <w:rsid w:val="00685F34"/>
    <w:rsid w:val="00692155"/>
    <w:rsid w:val="006A3003"/>
    <w:rsid w:val="00715AC8"/>
    <w:rsid w:val="00733AC5"/>
    <w:rsid w:val="00754C9C"/>
    <w:rsid w:val="007B11AF"/>
    <w:rsid w:val="0081084D"/>
    <w:rsid w:val="00834548"/>
    <w:rsid w:val="008777BE"/>
    <w:rsid w:val="008A71D6"/>
    <w:rsid w:val="00926F8D"/>
    <w:rsid w:val="00950682"/>
    <w:rsid w:val="00993F95"/>
    <w:rsid w:val="009A1CD2"/>
    <w:rsid w:val="009E1D99"/>
    <w:rsid w:val="00AA6D99"/>
    <w:rsid w:val="00AC489A"/>
    <w:rsid w:val="00AD0260"/>
    <w:rsid w:val="00B2722E"/>
    <w:rsid w:val="00B40179"/>
    <w:rsid w:val="00B53656"/>
    <w:rsid w:val="00B740EE"/>
    <w:rsid w:val="00B77282"/>
    <w:rsid w:val="00D01A5C"/>
    <w:rsid w:val="00D223DD"/>
    <w:rsid w:val="00D41634"/>
    <w:rsid w:val="00DC5245"/>
    <w:rsid w:val="00DC612B"/>
    <w:rsid w:val="00DC792D"/>
    <w:rsid w:val="00E41C33"/>
    <w:rsid w:val="00E60B67"/>
    <w:rsid w:val="00E86817"/>
    <w:rsid w:val="00EE4D67"/>
    <w:rsid w:val="00F150FC"/>
    <w:rsid w:val="00F23381"/>
    <w:rsid w:val="00F43A78"/>
    <w:rsid w:val="00F47C39"/>
    <w:rsid w:val="00F60BD7"/>
    <w:rsid w:val="00F73067"/>
    <w:rsid w:val="00F902F3"/>
    <w:rsid w:val="00FA10E3"/>
    <w:rsid w:val="00FC462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59C34"/>
  <w15:chartTrackingRefBased/>
  <w15:docId w15:val="{56B0D7EC-CEE3-49C1-B414-75D22052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A1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A1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A1CD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A1CD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A1CD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A1CD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A1CD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A1CD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A1CD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A1CD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A1CD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A1CD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A1CD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A1CD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A1C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A1C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A1C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A1CD2"/>
    <w:rPr>
      <w:rFonts w:eastAsiaTheme="majorEastAsia" w:cstheme="majorBidi"/>
      <w:color w:val="272727" w:themeColor="text1" w:themeTint="D8"/>
    </w:rPr>
  </w:style>
  <w:style w:type="paragraph" w:styleId="KonuBal">
    <w:name w:val="Title"/>
    <w:basedOn w:val="Normal"/>
    <w:next w:val="Normal"/>
    <w:link w:val="KonuBalChar"/>
    <w:uiPriority w:val="10"/>
    <w:qFormat/>
    <w:rsid w:val="009A1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A1C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A1CD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A1C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A1CD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A1CD2"/>
    <w:rPr>
      <w:i/>
      <w:iCs/>
      <w:color w:val="404040" w:themeColor="text1" w:themeTint="BF"/>
    </w:rPr>
  </w:style>
  <w:style w:type="paragraph" w:styleId="ListeParagraf">
    <w:name w:val="List Paragraph"/>
    <w:basedOn w:val="Normal"/>
    <w:uiPriority w:val="34"/>
    <w:qFormat/>
    <w:rsid w:val="009A1CD2"/>
    <w:pPr>
      <w:ind w:left="720"/>
      <w:contextualSpacing/>
    </w:pPr>
  </w:style>
  <w:style w:type="character" w:styleId="GlVurgulama">
    <w:name w:val="Intense Emphasis"/>
    <w:basedOn w:val="VarsaylanParagrafYazTipi"/>
    <w:uiPriority w:val="21"/>
    <w:qFormat/>
    <w:rsid w:val="009A1CD2"/>
    <w:rPr>
      <w:i/>
      <w:iCs/>
      <w:color w:val="0F4761" w:themeColor="accent1" w:themeShade="BF"/>
    </w:rPr>
  </w:style>
  <w:style w:type="paragraph" w:styleId="GlAlnt">
    <w:name w:val="Intense Quote"/>
    <w:basedOn w:val="Normal"/>
    <w:next w:val="Normal"/>
    <w:link w:val="GlAlntChar"/>
    <w:uiPriority w:val="30"/>
    <w:qFormat/>
    <w:rsid w:val="009A1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A1CD2"/>
    <w:rPr>
      <w:i/>
      <w:iCs/>
      <w:color w:val="0F4761" w:themeColor="accent1" w:themeShade="BF"/>
    </w:rPr>
  </w:style>
  <w:style w:type="character" w:styleId="GlBavuru">
    <w:name w:val="Intense Reference"/>
    <w:basedOn w:val="VarsaylanParagrafYazTipi"/>
    <w:uiPriority w:val="32"/>
    <w:qFormat/>
    <w:rsid w:val="009A1CD2"/>
    <w:rPr>
      <w:b/>
      <w:bCs/>
      <w:smallCaps/>
      <w:color w:val="0F4761" w:themeColor="accent1" w:themeShade="BF"/>
      <w:spacing w:val="5"/>
    </w:rPr>
  </w:style>
  <w:style w:type="table" w:styleId="TabloKlavuzu">
    <w:name w:val="Table Grid"/>
    <w:basedOn w:val="NormalTablo"/>
    <w:uiPriority w:val="39"/>
    <w:rsid w:val="0067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223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23DD"/>
  </w:style>
  <w:style w:type="paragraph" w:styleId="AltBilgi">
    <w:name w:val="footer"/>
    <w:basedOn w:val="Normal"/>
    <w:link w:val="AltBilgiChar"/>
    <w:uiPriority w:val="99"/>
    <w:unhideWhenUsed/>
    <w:rsid w:val="00D223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23DD"/>
  </w:style>
  <w:style w:type="paragraph" w:styleId="NormalWeb">
    <w:name w:val="Normal (Web)"/>
    <w:basedOn w:val="Normal"/>
    <w:uiPriority w:val="99"/>
    <w:unhideWhenUsed/>
    <w:rsid w:val="00D01A5C"/>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customStyle="1" w:styleId="p1">
    <w:name w:val="p1"/>
    <w:basedOn w:val="Normal"/>
    <w:rsid w:val="00993F95"/>
    <w:pPr>
      <w:spacing w:before="100" w:beforeAutospacing="1" w:after="100" w:afterAutospacing="1" w:line="240" w:lineRule="auto"/>
    </w:pPr>
    <w:rPr>
      <w:rFonts w:ascii="Times New Roman" w:eastAsiaTheme="minorEastAsia" w:hAnsi="Times New Roman" w:cs="Times New Roman"/>
      <w:kern w:val="0"/>
      <w:lang w:eastAsia="tr-TR"/>
      <w14:ligatures w14:val="none"/>
    </w:rPr>
  </w:style>
  <w:style w:type="character" w:customStyle="1" w:styleId="s1">
    <w:name w:val="s1"/>
    <w:basedOn w:val="VarsaylanParagrafYazTipi"/>
    <w:rsid w:val="00993F95"/>
  </w:style>
  <w:style w:type="character" w:customStyle="1" w:styleId="s2">
    <w:name w:val="s2"/>
    <w:basedOn w:val="VarsaylanParagrafYazTipi"/>
    <w:rsid w:val="00993F95"/>
  </w:style>
  <w:style w:type="paragraph" w:customStyle="1" w:styleId="p2">
    <w:name w:val="p2"/>
    <w:basedOn w:val="Normal"/>
    <w:rsid w:val="00993F95"/>
    <w:pPr>
      <w:spacing w:before="100" w:beforeAutospacing="1" w:after="100" w:afterAutospacing="1" w:line="240" w:lineRule="auto"/>
    </w:pPr>
    <w:rPr>
      <w:rFonts w:ascii="Times New Roman" w:eastAsiaTheme="minorEastAsia"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29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2677</TotalTime>
  <Pages>2</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Nuran CEYLAN</dc:creator>
  <cp:keywords/>
  <dc:description/>
  <cp:lastModifiedBy>kübra erişen</cp:lastModifiedBy>
  <cp:revision>62</cp:revision>
  <cp:lastPrinted>2025-12-09T15:41:00Z</cp:lastPrinted>
  <dcterms:created xsi:type="dcterms:W3CDTF">2025-11-25T16:36:00Z</dcterms:created>
  <dcterms:modified xsi:type="dcterms:W3CDTF">2025-12-12T11:26:00Z</dcterms:modified>
</cp:coreProperties>
</file>