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72b4d"/>
          <w:sz w:val="24"/>
          <w:szCs w:val="24"/>
          <w:highlight w:val="white"/>
        </w:rPr>
      </w:pPr>
      <w:r w:rsidDel="00000000" w:rsidR="00000000" w:rsidRPr="00000000">
        <w:rPr>
          <w:rtl w:val="0"/>
        </w:rPr>
      </w:r>
    </w:p>
    <w:p w:rsidR="00000000" w:rsidDel="00000000" w:rsidP="00000000" w:rsidRDefault="00000000" w:rsidRPr="00000000" w14:paraId="00000002">
      <w:pPr>
        <w:rPr>
          <w:color w:val="172b4d"/>
          <w:sz w:val="24"/>
          <w:szCs w:val="24"/>
          <w:highlight w:val="white"/>
        </w:rPr>
      </w:pPr>
      <w:r w:rsidDel="00000000" w:rsidR="00000000" w:rsidRPr="00000000">
        <w:rPr>
          <w:rtl w:val="0"/>
        </w:rPr>
      </w:r>
    </w:p>
    <w:p w:rsidR="00000000" w:rsidDel="00000000" w:rsidP="00000000" w:rsidRDefault="00000000" w:rsidRPr="00000000" w14:paraId="00000003">
      <w:pPr>
        <w:rPr>
          <w:color w:val="172b4d"/>
          <w:sz w:val="24"/>
          <w:szCs w:val="24"/>
          <w:highlight w:val="white"/>
        </w:rPr>
      </w:pPr>
      <w:r w:rsidDel="00000000" w:rsidR="00000000" w:rsidRPr="00000000">
        <w:rPr>
          <w:rtl w:val="0"/>
        </w:rPr>
      </w:r>
    </w:p>
    <w:p w:rsidR="00000000" w:rsidDel="00000000" w:rsidP="00000000" w:rsidRDefault="00000000" w:rsidRPr="00000000" w14:paraId="00000004">
      <w:pPr>
        <w:rPr>
          <w:color w:val="172b4d"/>
          <w:sz w:val="24"/>
          <w:szCs w:val="24"/>
          <w:highlight w:val="white"/>
        </w:rPr>
      </w:pPr>
      <w:r w:rsidDel="00000000" w:rsidR="00000000" w:rsidRPr="00000000">
        <w:rPr>
          <w:rtl w:val="0"/>
        </w:rPr>
      </w:r>
    </w:p>
    <w:p w:rsidR="00000000" w:rsidDel="00000000" w:rsidP="00000000" w:rsidRDefault="00000000" w:rsidRPr="00000000" w14:paraId="00000005">
      <w:pPr>
        <w:rPr>
          <w:color w:val="172b4d"/>
          <w:sz w:val="24"/>
          <w:szCs w:val="24"/>
          <w:highlight w:val="white"/>
        </w:rPr>
      </w:pPr>
      <w:r w:rsidDel="00000000" w:rsidR="00000000" w:rsidRPr="00000000">
        <w:rPr>
          <w:color w:val="172b4d"/>
          <w:sz w:val="24"/>
          <w:szCs w:val="24"/>
          <w:highlight w:val="white"/>
          <w:rtl w:val="0"/>
        </w:rPr>
        <w:t xml:space="preserve">                                                                                  </w:t>
      </w:r>
    </w:p>
    <w:p w:rsidR="00000000" w:rsidDel="00000000" w:rsidP="00000000" w:rsidRDefault="00000000" w:rsidRPr="00000000" w14:paraId="00000006">
      <w:pPr>
        <w:rPr>
          <w:color w:val="172b4d"/>
          <w:sz w:val="24"/>
          <w:szCs w:val="24"/>
          <w:highlight w:val="white"/>
        </w:rPr>
      </w:pPr>
      <w:r w:rsidDel="00000000" w:rsidR="00000000" w:rsidRPr="00000000">
        <w:rPr>
          <w:color w:val="172b4d"/>
          <w:sz w:val="24"/>
          <w:szCs w:val="24"/>
          <w:highlight w:val="white"/>
          <w:rtl w:val="0"/>
        </w:rPr>
        <w:t xml:space="preserve">                                          </w:t>
      </w:r>
    </w:p>
    <w:p w:rsidR="00000000" w:rsidDel="00000000" w:rsidP="00000000" w:rsidRDefault="00000000" w:rsidRPr="00000000" w14:paraId="00000007">
      <w:pPr>
        <w:rPr>
          <w:color w:val="172b4d"/>
          <w:sz w:val="24"/>
          <w:szCs w:val="24"/>
          <w:highlight w:val="white"/>
        </w:rPr>
      </w:pPr>
      <w:r w:rsidDel="00000000" w:rsidR="00000000" w:rsidRPr="00000000">
        <w:rPr>
          <w:rtl w:val="0"/>
        </w:rPr>
      </w:r>
    </w:p>
    <w:p w:rsidR="00000000" w:rsidDel="00000000" w:rsidP="00000000" w:rsidRDefault="00000000" w:rsidRPr="00000000" w14:paraId="00000008">
      <w:pPr>
        <w:rPr>
          <w:color w:val="172b4d"/>
          <w:sz w:val="24"/>
          <w:szCs w:val="24"/>
          <w:highlight w:val="white"/>
        </w:rPr>
      </w:pPr>
      <w:r w:rsidDel="00000000" w:rsidR="00000000" w:rsidRPr="00000000">
        <w:rPr>
          <w:rtl w:val="0"/>
        </w:rPr>
      </w:r>
    </w:p>
    <w:p w:rsidR="00000000" w:rsidDel="00000000" w:rsidP="00000000" w:rsidRDefault="00000000" w:rsidRPr="00000000" w14:paraId="00000009">
      <w:pPr>
        <w:rPr>
          <w:color w:val="172b4d"/>
          <w:sz w:val="24"/>
          <w:szCs w:val="24"/>
          <w:highlight w:val="white"/>
        </w:rPr>
      </w:pPr>
      <w:r w:rsidDel="00000000" w:rsidR="00000000" w:rsidRPr="00000000">
        <w:rPr>
          <w:color w:val="172b4d"/>
          <w:sz w:val="24"/>
          <w:szCs w:val="24"/>
          <w:highlight w:val="white"/>
          <w:rtl w:val="0"/>
        </w:rPr>
        <w:t xml:space="preserve">                                                                                                </w:t>
      </w:r>
      <w:r w:rsidDel="00000000" w:rsidR="00000000" w:rsidRPr="00000000">
        <w:rPr>
          <w:color w:val="172b4d"/>
          <w:sz w:val="24"/>
          <w:szCs w:val="24"/>
          <w:highlight w:val="white"/>
        </w:rPr>
        <w:drawing>
          <wp:inline distB="114300" distT="114300" distL="114300" distR="114300">
            <wp:extent cx="1431363" cy="8219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1363" cy="82197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color w:val="172b4d"/>
          <w:sz w:val="24"/>
          <w:szCs w:val="24"/>
          <w:highlight w:val="white"/>
        </w:rPr>
      </w:pPr>
      <w:r w:rsidDel="00000000" w:rsidR="00000000" w:rsidRPr="00000000">
        <w:rPr>
          <w:rtl w:val="0"/>
        </w:rPr>
      </w:r>
    </w:p>
    <w:p w:rsidR="00000000" w:rsidDel="00000000" w:rsidP="00000000" w:rsidRDefault="00000000" w:rsidRPr="00000000" w14:paraId="0000000B">
      <w:pPr>
        <w:rPr>
          <w:color w:val="172b4d"/>
          <w:sz w:val="24"/>
          <w:szCs w:val="24"/>
          <w:highlight w:val="white"/>
        </w:rPr>
      </w:pPr>
      <w:r w:rsidDel="00000000" w:rsidR="00000000" w:rsidRPr="00000000">
        <w:rPr>
          <w:rtl w:val="0"/>
        </w:rPr>
      </w:r>
    </w:p>
    <w:p w:rsidR="00000000" w:rsidDel="00000000" w:rsidP="00000000" w:rsidRDefault="00000000" w:rsidRPr="00000000" w14:paraId="0000000C">
      <w:pPr>
        <w:rPr>
          <w:color w:val="172b4d"/>
          <w:sz w:val="24"/>
          <w:szCs w:val="24"/>
          <w:highlight w:val="white"/>
        </w:rPr>
      </w:pPr>
      <w:r w:rsidDel="00000000" w:rsidR="00000000" w:rsidRPr="00000000">
        <w:rPr>
          <w:rtl w:val="0"/>
        </w:rPr>
      </w:r>
    </w:p>
    <w:p w:rsidR="00000000" w:rsidDel="00000000" w:rsidP="00000000" w:rsidRDefault="00000000" w:rsidRPr="00000000" w14:paraId="0000000D">
      <w:pPr>
        <w:rPr>
          <w:color w:val="172b4d"/>
          <w:sz w:val="24"/>
          <w:szCs w:val="24"/>
          <w:highlight w:val="white"/>
        </w:rPr>
      </w:pPr>
      <w:r w:rsidDel="00000000" w:rsidR="00000000" w:rsidRPr="00000000">
        <w:rPr>
          <w:rtl w:val="0"/>
        </w:rPr>
      </w:r>
    </w:p>
    <w:p w:rsidR="00000000" w:rsidDel="00000000" w:rsidP="00000000" w:rsidRDefault="00000000" w:rsidRPr="00000000" w14:paraId="0000000E">
      <w:pPr>
        <w:rPr>
          <w:color w:val="172b4d"/>
          <w:sz w:val="24"/>
          <w:szCs w:val="24"/>
          <w:highlight w:val="white"/>
        </w:rPr>
      </w:pPr>
      <w:r w:rsidDel="00000000" w:rsidR="00000000" w:rsidRPr="00000000">
        <w:rPr>
          <w:color w:val="172b4d"/>
          <w:sz w:val="24"/>
          <w:szCs w:val="24"/>
          <w:highlight w:val="white"/>
          <w:rtl w:val="0"/>
        </w:rPr>
        <w:t xml:space="preserve">Committee Name : SPECPol</w:t>
      </w:r>
    </w:p>
    <w:p w:rsidR="00000000" w:rsidDel="00000000" w:rsidP="00000000" w:rsidRDefault="00000000" w:rsidRPr="00000000" w14:paraId="0000000F">
      <w:pPr>
        <w:rPr>
          <w:color w:val="172b4d"/>
          <w:sz w:val="24"/>
          <w:szCs w:val="24"/>
          <w:highlight w:val="white"/>
        </w:rPr>
      </w:pPr>
      <w:r w:rsidDel="00000000" w:rsidR="00000000" w:rsidRPr="00000000">
        <w:rPr>
          <w:color w:val="172b4d"/>
          <w:sz w:val="24"/>
          <w:szCs w:val="24"/>
          <w:highlight w:val="white"/>
          <w:rtl w:val="0"/>
        </w:rPr>
        <w:t xml:space="preserve">Agenda Item: Reassessing the Political Status of Disputed and Non-Self-Governing Territories</w:t>
      </w:r>
    </w:p>
    <w:p w:rsidR="00000000" w:rsidDel="00000000" w:rsidP="00000000" w:rsidRDefault="00000000" w:rsidRPr="00000000" w14:paraId="00000010">
      <w:pPr>
        <w:rPr>
          <w:color w:val="172b4d"/>
          <w:sz w:val="24"/>
          <w:szCs w:val="24"/>
          <w:highlight w:val="white"/>
        </w:rPr>
      </w:pPr>
      <w:r w:rsidDel="00000000" w:rsidR="00000000" w:rsidRPr="00000000">
        <w:rPr>
          <w:color w:val="172b4d"/>
          <w:sz w:val="24"/>
          <w:szCs w:val="24"/>
          <w:highlight w:val="white"/>
          <w:rtl w:val="0"/>
        </w:rPr>
        <w:t xml:space="preserve">Country Name: United Mexican States </w:t>
      </w:r>
    </w:p>
    <w:p w:rsidR="00000000" w:rsidDel="00000000" w:rsidP="00000000" w:rsidRDefault="00000000" w:rsidRPr="00000000" w14:paraId="00000011">
      <w:pPr>
        <w:rPr>
          <w:color w:val="172b4d"/>
          <w:sz w:val="24"/>
          <w:szCs w:val="24"/>
          <w:highlight w:val="white"/>
        </w:rPr>
      </w:pPr>
      <w:r w:rsidDel="00000000" w:rsidR="00000000" w:rsidRPr="00000000">
        <w:rPr>
          <w:color w:val="172b4d"/>
          <w:sz w:val="24"/>
          <w:szCs w:val="24"/>
          <w:highlight w:val="white"/>
          <w:rtl w:val="0"/>
        </w:rPr>
        <w:t xml:space="preserve">Delegate Name: Melis Çöllü </w:t>
      </w:r>
    </w:p>
    <w:p w:rsidR="00000000" w:rsidDel="00000000" w:rsidP="00000000" w:rsidRDefault="00000000" w:rsidRPr="00000000" w14:paraId="00000012">
      <w:pPr>
        <w:rPr>
          <w:color w:val="172b4d"/>
          <w:sz w:val="24"/>
          <w:szCs w:val="24"/>
          <w:highlight w:val="white"/>
        </w:rPr>
      </w:pPr>
      <w:r w:rsidDel="00000000" w:rsidR="00000000" w:rsidRPr="00000000">
        <w:rPr>
          <w:rtl w:val="0"/>
        </w:rPr>
      </w:r>
    </w:p>
    <w:p w:rsidR="00000000" w:rsidDel="00000000" w:rsidP="00000000" w:rsidRDefault="00000000" w:rsidRPr="00000000" w14:paraId="00000013">
      <w:pPr>
        <w:rPr>
          <w:color w:val="172b4d"/>
          <w:sz w:val="24"/>
          <w:szCs w:val="24"/>
          <w:highlight w:val="white"/>
        </w:rPr>
      </w:pPr>
      <w:r w:rsidDel="00000000" w:rsidR="00000000" w:rsidRPr="00000000">
        <w:rPr>
          <w:color w:val="172b4d"/>
          <w:sz w:val="24"/>
          <w:szCs w:val="24"/>
          <w:highlight w:val="white"/>
          <w:rtl w:val="0"/>
        </w:rPr>
        <w:t xml:space="preserve">The question of disputed and non-self-governing territories is highly relevant to the international community. These are territorial entities where their inhabitants do not fully determine their political future. Most of the situations have originated from colonial history, where strong states controlled other regions. Examples of such territories can be found in different parts of the world, including regions in Africa, Asia, and the Caribbean. The biggest challenge today is how to respect the right of people to self-determination while maintaining international peace and stability. The Mexican delegation believes in peaceful dialogue and respect for international law in finding a solution to this issue.</w:t>
      </w:r>
    </w:p>
    <w:p w:rsidR="00000000" w:rsidDel="00000000" w:rsidP="00000000" w:rsidRDefault="00000000" w:rsidRPr="00000000" w14:paraId="00000014">
      <w:pPr>
        <w:rPr>
          <w:color w:val="172b4d"/>
          <w:sz w:val="24"/>
          <w:szCs w:val="24"/>
          <w:highlight w:val="white"/>
        </w:rPr>
      </w:pPr>
      <w:r w:rsidDel="00000000" w:rsidR="00000000" w:rsidRPr="00000000">
        <w:rPr>
          <w:rtl w:val="0"/>
        </w:rPr>
      </w:r>
    </w:p>
    <w:p w:rsidR="00000000" w:rsidDel="00000000" w:rsidP="00000000" w:rsidRDefault="00000000" w:rsidRPr="00000000" w14:paraId="00000015">
      <w:pPr>
        <w:rPr>
          <w:color w:val="172b4d"/>
          <w:sz w:val="24"/>
          <w:szCs w:val="24"/>
          <w:highlight w:val="white"/>
        </w:rPr>
      </w:pPr>
      <w:r w:rsidDel="00000000" w:rsidR="00000000" w:rsidRPr="00000000">
        <w:rPr>
          <w:color w:val="172b4d"/>
          <w:sz w:val="24"/>
          <w:szCs w:val="24"/>
          <w:highlight w:val="white"/>
          <w:rtl w:val="0"/>
        </w:rPr>
        <w:t xml:space="preserve">The United Nations has always played a salient role in the case of self-governing territories. The UN Charter upholds the principle of self-determination of peoples. On these topics, the United Nations General Assembly established the Special Political and Decolonization Committee. The majority of UN resolutions demand peaceful solutions, negotiations, and the safeguarding of human rights in disputed territories. The UN encourages states and international organizations to increase cooperation in order to reduce tension and avoid conflict.</w:t>
      </w:r>
    </w:p>
    <w:p w:rsidR="00000000" w:rsidDel="00000000" w:rsidP="00000000" w:rsidRDefault="00000000" w:rsidRPr="00000000" w14:paraId="00000016">
      <w:pPr>
        <w:rPr>
          <w:color w:val="172b4d"/>
          <w:sz w:val="24"/>
          <w:szCs w:val="24"/>
          <w:highlight w:val="white"/>
        </w:rPr>
      </w:pPr>
      <w:r w:rsidDel="00000000" w:rsidR="00000000" w:rsidRPr="00000000">
        <w:rPr>
          <w:rtl w:val="0"/>
        </w:rPr>
      </w:r>
    </w:p>
    <w:p w:rsidR="00000000" w:rsidDel="00000000" w:rsidP="00000000" w:rsidRDefault="00000000" w:rsidRPr="00000000" w14:paraId="00000017">
      <w:pPr>
        <w:rPr>
          <w:color w:val="172b4d"/>
          <w:sz w:val="24"/>
          <w:szCs w:val="24"/>
          <w:highlight w:val="white"/>
        </w:rPr>
      </w:pPr>
      <w:r w:rsidDel="00000000" w:rsidR="00000000" w:rsidRPr="00000000">
        <w:rPr>
          <w:color w:val="172b4d"/>
          <w:sz w:val="24"/>
          <w:szCs w:val="24"/>
          <w:highlight w:val="white"/>
          <w:rtl w:val="0"/>
        </w:rPr>
        <w:t xml:space="preserve">Mexico has always supported decolonization and peaceful dispute settlement. Mexico believes that colonialism should be brought to a total end and that people should freely decide on their political status. Mexico respects state sovereignty and does not favor the use of force. At international platforms, Mexico stands for dialogue, diplomacy, and multilateral solutions. It also values human rights, and the voices of local populations have to be heard.</w:t>
      </w:r>
    </w:p>
    <w:p w:rsidR="00000000" w:rsidDel="00000000" w:rsidP="00000000" w:rsidRDefault="00000000" w:rsidRPr="00000000" w14:paraId="00000018">
      <w:pPr>
        <w:rPr>
          <w:color w:val="172b4d"/>
          <w:sz w:val="24"/>
          <w:szCs w:val="24"/>
          <w:highlight w:val="white"/>
        </w:rPr>
      </w:pPr>
      <w:r w:rsidDel="00000000" w:rsidR="00000000" w:rsidRPr="00000000">
        <w:rPr>
          <w:rtl w:val="0"/>
        </w:rPr>
      </w:r>
    </w:p>
    <w:p w:rsidR="00000000" w:rsidDel="00000000" w:rsidP="00000000" w:rsidRDefault="00000000" w:rsidRPr="00000000" w14:paraId="00000019">
      <w:pPr>
        <w:rPr>
          <w:color w:val="172b4d"/>
          <w:sz w:val="24"/>
          <w:szCs w:val="24"/>
          <w:highlight w:val="white"/>
        </w:rPr>
      </w:pPr>
      <w:r w:rsidDel="00000000" w:rsidR="00000000" w:rsidRPr="00000000">
        <w:rPr>
          <w:color w:val="172b4d"/>
          <w:sz w:val="24"/>
          <w:szCs w:val="24"/>
          <w:highlight w:val="white"/>
          <w:rtl w:val="0"/>
        </w:rPr>
        <w:t xml:space="preserve">As counter-measures, Mexico believes in deeper UN involvement in mediation and dialogue processes. In this respect, peaceful negotiations between the parties should be favored. If possible, the UN could provide support for free referendums. Human rights observers may also be sent to civilian protection. Plans for education and economic support programs must be developed to support such territories to become stable and independent. Consequently, the delegation of Mexico looks forward to cooperating with all member states with the hope of peaceful and equitable solutions.</w:t>
      </w:r>
    </w:p>
    <w:p w:rsidR="00000000" w:rsidDel="00000000" w:rsidP="00000000" w:rsidRDefault="00000000" w:rsidRPr="00000000" w14:paraId="0000001A">
      <w:pPr>
        <w:rPr>
          <w:color w:val="172b4d"/>
          <w:sz w:val="24"/>
          <w:szCs w:val="24"/>
          <w:highlight w:val="white"/>
        </w:rPr>
      </w:pPr>
      <w:r w:rsidDel="00000000" w:rsidR="00000000" w:rsidRPr="00000000">
        <w:rPr>
          <w:rtl w:val="0"/>
        </w:rPr>
      </w:r>
    </w:p>
    <w:p w:rsidR="00000000" w:rsidDel="00000000" w:rsidP="00000000" w:rsidRDefault="00000000" w:rsidRPr="00000000" w14:paraId="0000001B">
      <w:pPr>
        <w:rPr>
          <w:color w:val="172b4d"/>
          <w:sz w:val="24"/>
          <w:szCs w:val="24"/>
          <w:highlight w:val="white"/>
        </w:rPr>
      </w:pPr>
      <w:r w:rsidDel="00000000" w:rsidR="00000000" w:rsidRPr="00000000">
        <w:rPr>
          <w:color w:val="172b4d"/>
          <w:sz w:val="24"/>
          <w:szCs w:val="24"/>
          <w:highlight w:val="white"/>
          <w:rtl w:val="0"/>
        </w:rPr>
        <w:t xml:space="preserve">Bibliography:1-</w:t>
      </w:r>
      <w:hyperlink r:id="rId7">
        <w:r w:rsidDel="00000000" w:rsidR="00000000" w:rsidRPr="00000000">
          <w:rPr>
            <w:color w:val="1155cc"/>
            <w:sz w:val="24"/>
            <w:szCs w:val="24"/>
            <w:highlight w:val="white"/>
            <w:u w:val="single"/>
            <w:rtl w:val="0"/>
          </w:rPr>
          <w:t xml:space="preserve">https://www.icj-cij.org/home</w:t>
        </w:r>
      </w:hyperlink>
      <w:r w:rsidDel="00000000" w:rsidR="00000000" w:rsidRPr="00000000">
        <w:rPr>
          <w:rtl w:val="0"/>
        </w:rPr>
      </w:r>
    </w:p>
    <w:p w:rsidR="00000000" w:rsidDel="00000000" w:rsidP="00000000" w:rsidRDefault="00000000" w:rsidRPr="00000000" w14:paraId="0000001C">
      <w:pPr>
        <w:rPr>
          <w:color w:val="172b4d"/>
          <w:sz w:val="24"/>
          <w:szCs w:val="24"/>
          <w:highlight w:val="white"/>
        </w:rPr>
      </w:pPr>
      <w:r w:rsidDel="00000000" w:rsidR="00000000" w:rsidRPr="00000000">
        <w:rPr>
          <w:color w:val="172b4d"/>
          <w:sz w:val="24"/>
          <w:szCs w:val="24"/>
          <w:highlight w:val="white"/>
          <w:rtl w:val="0"/>
        </w:rPr>
        <w:t xml:space="preserve">2-</w:t>
      </w:r>
      <w:hyperlink r:id="rId8">
        <w:r w:rsidDel="00000000" w:rsidR="00000000" w:rsidRPr="00000000">
          <w:rPr>
            <w:color w:val="1155cc"/>
            <w:sz w:val="24"/>
            <w:szCs w:val="24"/>
            <w:highlight w:val="white"/>
            <w:u w:val="single"/>
            <w:rtl w:val="0"/>
          </w:rPr>
          <w:t xml:space="preserve">https://www.ohchr.org/en/ohchr_homepage</w:t>
        </w:r>
      </w:hyperlink>
      <w:r w:rsidDel="00000000" w:rsidR="00000000" w:rsidRPr="00000000">
        <w:rPr>
          <w:rtl w:val="0"/>
        </w:rPr>
      </w:r>
    </w:p>
    <w:p w:rsidR="00000000" w:rsidDel="00000000" w:rsidP="00000000" w:rsidRDefault="00000000" w:rsidRPr="00000000" w14:paraId="0000001D">
      <w:pPr>
        <w:rPr>
          <w:color w:val="172b4d"/>
          <w:sz w:val="24"/>
          <w:szCs w:val="24"/>
          <w:highlight w:val="white"/>
        </w:rPr>
      </w:pPr>
      <w:r w:rsidDel="00000000" w:rsidR="00000000" w:rsidRPr="00000000">
        <w:rPr>
          <w:color w:val="172b4d"/>
          <w:sz w:val="24"/>
          <w:szCs w:val="24"/>
          <w:highlight w:val="white"/>
          <w:rtl w:val="0"/>
        </w:rPr>
        <w:t xml:space="preserve">3-</w:t>
      </w:r>
      <w:hyperlink r:id="rId9">
        <w:r w:rsidDel="00000000" w:rsidR="00000000" w:rsidRPr="00000000">
          <w:rPr>
            <w:color w:val="1155cc"/>
            <w:sz w:val="24"/>
            <w:szCs w:val="24"/>
            <w:highlight w:val="white"/>
            <w:u w:val="single"/>
            <w:rtl w:val="0"/>
          </w:rPr>
          <w:t xml:space="preserve">https://peacekeeping.un.org/en</w:t>
        </w:r>
      </w:hyperlink>
      <w:r w:rsidDel="00000000" w:rsidR="00000000" w:rsidRPr="00000000">
        <w:rPr>
          <w:rtl w:val="0"/>
        </w:rPr>
      </w:r>
    </w:p>
    <w:p w:rsidR="00000000" w:rsidDel="00000000" w:rsidP="00000000" w:rsidRDefault="00000000" w:rsidRPr="00000000" w14:paraId="0000001E">
      <w:pPr>
        <w:rPr>
          <w:color w:val="172b4d"/>
          <w:sz w:val="24"/>
          <w:szCs w:val="24"/>
          <w:highlight w:val="white"/>
        </w:rPr>
      </w:pPr>
      <w:r w:rsidDel="00000000" w:rsidR="00000000" w:rsidRPr="00000000">
        <w:rPr>
          <w:color w:val="172b4d"/>
          <w:sz w:val="24"/>
          <w:szCs w:val="24"/>
          <w:highlight w:val="white"/>
          <w:rtl w:val="0"/>
        </w:rPr>
        <w:t xml:space="preserve">4-YCMUN25 SPECPol Study Guide </w:t>
      </w:r>
      <w:r w:rsidDel="00000000" w:rsidR="00000000" w:rsidRPr="00000000">
        <w:rPr>
          <w:rtl w:val="0"/>
        </w:rPr>
      </w:r>
    </w:p>
    <w:p w:rsidR="00000000" w:rsidDel="00000000" w:rsidP="00000000" w:rsidRDefault="00000000" w:rsidRPr="00000000" w14:paraId="0000001F">
      <w:pPr>
        <w:rPr>
          <w:color w:val="172b4d"/>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acekeeping.un.org/e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cj-cij.org/home" TargetMode="External"/><Relationship Id="rId8" Type="http://schemas.openxmlformats.org/officeDocument/2006/relationships/hyperlink" Target="https://www.ohchr.org/en/ohchr_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