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BD3DB60" wp14:paraId="1DB4442F" wp14:textId="6F3072AA">
      <w:pPr>
        <w:pStyle w:val="Normal"/>
      </w:pPr>
      <w:r w:rsidR="17282F57">
        <w:drawing>
          <wp:inline xmlns:wp14="http://schemas.microsoft.com/office/word/2010/wordprocessingDrawing" wp14:editId="3BBF4439" wp14:anchorId="60F70800">
            <wp:extent cx="3014510" cy="1885950"/>
            <wp:effectExtent l="0" t="0" r="0" b="0"/>
            <wp:docPr id="11544037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12d88a4cfb41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5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282F57" w:rsidP="6BD3DB60" w:rsidRDefault="17282F57" w14:paraId="6B27227A" w14:textId="7DFBDE7A">
      <w:pPr>
        <w:pStyle w:val="Normal"/>
        <w:rPr>
          <w:b w:val="0"/>
          <w:bCs w:val="0"/>
          <w:sz w:val="28"/>
          <w:szCs w:val="28"/>
        </w:rPr>
      </w:pPr>
      <w:proofErr w:type="spellStart"/>
      <w:r w:rsidRPr="6BD3DB60" w:rsidR="17282F57">
        <w:rPr>
          <w:b w:val="1"/>
          <w:bCs w:val="1"/>
          <w:sz w:val="28"/>
          <w:szCs w:val="28"/>
        </w:rPr>
        <w:t>Committee</w:t>
      </w:r>
      <w:proofErr w:type="spellEnd"/>
      <w:r w:rsidRPr="6BD3DB60" w:rsidR="17282F57">
        <w:rPr>
          <w:b w:val="1"/>
          <w:bCs w:val="1"/>
          <w:sz w:val="28"/>
          <w:szCs w:val="28"/>
        </w:rPr>
        <w:t>:</w:t>
      </w:r>
      <w:r w:rsidRPr="6BD3DB60" w:rsidR="17282F57">
        <w:rPr>
          <w:b w:val="0"/>
          <w:bCs w:val="0"/>
          <w:sz w:val="28"/>
          <w:szCs w:val="28"/>
        </w:rPr>
        <w:t xml:space="preserve"> </w:t>
      </w:r>
      <w:proofErr w:type="spellStart"/>
      <w:r w:rsidRPr="6BD3DB60" w:rsidR="17282F57">
        <w:rPr>
          <w:b w:val="0"/>
          <w:bCs w:val="0"/>
          <w:sz w:val="28"/>
          <w:szCs w:val="28"/>
        </w:rPr>
        <w:t>The</w:t>
      </w:r>
      <w:proofErr w:type="spellEnd"/>
      <w:r w:rsidRPr="6BD3DB60" w:rsidR="17282F57">
        <w:rPr>
          <w:b w:val="0"/>
          <w:bCs w:val="0"/>
          <w:sz w:val="28"/>
          <w:szCs w:val="28"/>
        </w:rPr>
        <w:t xml:space="preserve"> </w:t>
      </w:r>
      <w:proofErr w:type="spellStart"/>
      <w:r w:rsidRPr="6BD3DB60" w:rsidR="194FE0A6">
        <w:rPr>
          <w:b w:val="0"/>
          <w:bCs w:val="0"/>
          <w:sz w:val="28"/>
          <w:szCs w:val="28"/>
        </w:rPr>
        <w:t>Food</w:t>
      </w:r>
      <w:proofErr w:type="spellEnd"/>
      <w:r w:rsidRPr="6BD3DB60" w:rsidR="194FE0A6">
        <w:rPr>
          <w:b w:val="0"/>
          <w:bCs w:val="0"/>
          <w:sz w:val="28"/>
          <w:szCs w:val="28"/>
        </w:rPr>
        <w:t xml:space="preserve"> </w:t>
      </w:r>
      <w:proofErr w:type="spellStart"/>
      <w:r w:rsidRPr="6BD3DB60" w:rsidR="194FE0A6">
        <w:rPr>
          <w:b w:val="0"/>
          <w:bCs w:val="0"/>
          <w:sz w:val="28"/>
          <w:szCs w:val="28"/>
        </w:rPr>
        <w:t>and</w:t>
      </w:r>
      <w:proofErr w:type="spellEnd"/>
      <w:r w:rsidRPr="6BD3DB60" w:rsidR="194FE0A6">
        <w:rPr>
          <w:b w:val="0"/>
          <w:bCs w:val="0"/>
          <w:sz w:val="28"/>
          <w:szCs w:val="28"/>
        </w:rPr>
        <w:t xml:space="preserve"> </w:t>
      </w:r>
      <w:proofErr w:type="spellStart"/>
      <w:r w:rsidRPr="6BD3DB60" w:rsidR="194FE0A6">
        <w:rPr>
          <w:b w:val="0"/>
          <w:bCs w:val="0"/>
          <w:sz w:val="28"/>
          <w:szCs w:val="28"/>
        </w:rPr>
        <w:t>Agriculture</w:t>
      </w:r>
      <w:proofErr w:type="spellEnd"/>
      <w:r w:rsidRPr="6BD3DB60" w:rsidR="194FE0A6">
        <w:rPr>
          <w:b w:val="0"/>
          <w:bCs w:val="0"/>
          <w:sz w:val="28"/>
          <w:szCs w:val="28"/>
        </w:rPr>
        <w:t xml:space="preserve"> </w:t>
      </w:r>
      <w:proofErr w:type="spellStart"/>
      <w:r w:rsidRPr="6BD3DB60" w:rsidR="194FE0A6">
        <w:rPr>
          <w:b w:val="0"/>
          <w:bCs w:val="0"/>
          <w:sz w:val="28"/>
          <w:szCs w:val="28"/>
        </w:rPr>
        <w:t>Organization</w:t>
      </w:r>
      <w:proofErr w:type="spellEnd"/>
      <w:r w:rsidRPr="6BD3DB60" w:rsidR="194FE0A6">
        <w:rPr>
          <w:b w:val="0"/>
          <w:bCs w:val="0"/>
          <w:sz w:val="28"/>
          <w:szCs w:val="28"/>
        </w:rPr>
        <w:t xml:space="preserve"> (FAO) </w:t>
      </w:r>
    </w:p>
    <w:p w:rsidR="6955472E" w:rsidP="6BD3DB60" w:rsidRDefault="6955472E" w14:paraId="21EBE056" w14:textId="7DC53625">
      <w:pPr>
        <w:pStyle w:val="Normal"/>
        <w:rPr>
          <w:b w:val="0"/>
          <w:bCs w:val="0"/>
          <w:sz w:val="28"/>
          <w:szCs w:val="28"/>
        </w:rPr>
      </w:pPr>
      <w:r w:rsidRPr="6BD3DB60" w:rsidR="6955472E">
        <w:rPr>
          <w:b w:val="1"/>
          <w:bCs w:val="1"/>
          <w:sz w:val="28"/>
          <w:szCs w:val="28"/>
        </w:rPr>
        <w:t xml:space="preserve">Country: </w:t>
      </w:r>
      <w:proofErr w:type="spellStart"/>
      <w:r w:rsidRPr="6BD3DB60" w:rsidR="6955472E">
        <w:rPr>
          <w:b w:val="0"/>
          <w:bCs w:val="0"/>
          <w:sz w:val="28"/>
          <w:szCs w:val="28"/>
        </w:rPr>
        <w:t>Sweden</w:t>
      </w:r>
      <w:proofErr w:type="spellEnd"/>
      <w:r w:rsidRPr="6BD3DB60" w:rsidR="6955472E">
        <w:rPr>
          <w:b w:val="0"/>
          <w:bCs w:val="0"/>
          <w:sz w:val="28"/>
          <w:szCs w:val="28"/>
        </w:rPr>
        <w:t xml:space="preserve"> </w:t>
      </w:r>
    </w:p>
    <w:p w:rsidR="6955472E" w:rsidP="6BD3DB60" w:rsidRDefault="6955472E" w14:paraId="265AA951" w14:textId="442A8AAF">
      <w:pPr>
        <w:pStyle w:val="Normal"/>
        <w:rPr>
          <w:rFonts w:ascii="Aptos" w:hAnsi="Aptos" w:eastAsia="Aptos" w:cs="Aptos"/>
          <w:noProof w:val="0"/>
          <w:sz w:val="28"/>
          <w:szCs w:val="28"/>
          <w:lang w:val="tr-TR"/>
        </w:rPr>
      </w:pPr>
      <w:proofErr w:type="spellStart"/>
      <w:r w:rsidRPr="6BD3DB60" w:rsidR="6955472E">
        <w:rPr>
          <w:b w:val="1"/>
          <w:bCs w:val="1"/>
          <w:sz w:val="28"/>
          <w:szCs w:val="28"/>
        </w:rPr>
        <w:t>Agenda</w:t>
      </w:r>
      <w:proofErr w:type="spellEnd"/>
      <w:r w:rsidRPr="6BD3DB60" w:rsidR="6955472E">
        <w:rPr>
          <w:b w:val="1"/>
          <w:bCs w:val="1"/>
          <w:sz w:val="28"/>
          <w:szCs w:val="28"/>
        </w:rPr>
        <w:t xml:space="preserve">: </w:t>
      </w:r>
      <w:proofErr w:type="spellStart"/>
      <w:r w:rsidRPr="6BD3DB60" w:rsidR="6955472E">
        <w:rPr>
          <w:b w:val="0"/>
          <w:bCs w:val="0"/>
          <w:sz w:val="28"/>
          <w:szCs w:val="28"/>
        </w:rPr>
        <w:t>S</w:t>
      </w:r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trategies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for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advancing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sustainable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agricultural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practices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green</w:t>
      </w:r>
      <w:proofErr w:type="spellEnd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69554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transition</w:t>
      </w:r>
      <w:proofErr w:type="spellEnd"/>
    </w:p>
    <w:p w:rsidR="38957353" w:rsidP="6BD3DB60" w:rsidRDefault="38957353" w14:paraId="54E868F2" w14:textId="246F6A6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green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transition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means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change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practice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towards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sustainability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all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sectors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minimize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environmental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degradation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enhance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ecological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health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long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run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very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significant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this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transition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since it is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among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leading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causes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climate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change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degradation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loss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biodiversity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is at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this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point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that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has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recognized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importance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sustainable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practices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tackling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these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issues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has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adopted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various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strategies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environmental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impact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its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systems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Currently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promotes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organic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farming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offers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incentives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chemical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use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encourages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methods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like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crop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rotation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improve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soil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health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biodiversity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Additionally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integrating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renewable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energy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through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application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solar,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wind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biogas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technologies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farms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order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sector's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carbon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footprint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This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is done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alongside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waste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ensuring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a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more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circular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economy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through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better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storing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transportation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valorizing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by-products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reuse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Moving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forward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intends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upscale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application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agroecological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practices-agroforestry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integrated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management-to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restore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ecosystems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continue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environmental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impact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from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farming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committed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accelerating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adoption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climate-smart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that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enables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farmers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adapt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changed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weather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patterns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reduces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carbon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emissions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addition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country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is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trying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encourage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people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consume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more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sustainable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raising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awareness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about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impact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of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diets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on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environment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promoting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plant-based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foods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Lastly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will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introduce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stronger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climate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adaptation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programs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farmers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equipping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them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with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necessary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tools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means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deal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with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extreme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weather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conditions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Overall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Sweden's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efforts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at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improving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sustainable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agriculture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align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with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greater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goals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: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reducing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carbon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emissions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atmosphere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building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a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resistant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sustainable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food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system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.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Thanks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further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support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for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greener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farming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methods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adapting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to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climate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and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educating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consumers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,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Sweden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would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be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leading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in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the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green</w:t>
      </w:r>
      <w:proofErr w:type="spellEnd"/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transition</w:t>
      </w:r>
      <w:r w:rsidRPr="6BD3DB60" w:rsidR="38957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.</w:t>
      </w:r>
    </w:p>
    <w:p w:rsidR="5E9429AC" w:rsidP="6BD3DB60" w:rsidRDefault="5E9429AC" w14:paraId="41F963C0" w14:textId="6C5B473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tr-TR"/>
        </w:rPr>
      </w:pPr>
      <w:proofErr w:type="spellStart"/>
      <w:r w:rsidRPr="6BD3DB60" w:rsidR="5E9429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References</w:t>
      </w:r>
      <w:proofErr w:type="spellEnd"/>
      <w:r w:rsidRPr="6BD3DB60" w:rsidR="5E9429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: </w:t>
      </w:r>
      <w:hyperlink r:id="Rad5788c373814b9a">
        <w:r w:rsidRPr="6BD3DB60" w:rsidR="3EB04E8B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tr-TR"/>
          </w:rPr>
          <w:t>Agriculture and sustainability | OECD</w:t>
        </w:r>
      </w:hyperlink>
    </w:p>
    <w:p w:rsidR="7D944ABF" w:rsidP="6BD3DB60" w:rsidRDefault="7D944ABF" w14:paraId="733A197C" w14:textId="192E60B9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tr-TR"/>
        </w:rPr>
      </w:pPr>
      <w:hyperlink r:id="R7f0ae308d90c4f83">
        <w:r w:rsidRPr="6BD3DB60" w:rsidR="7D944ABF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tr-TR"/>
          </w:rPr>
          <w:t>Sweden - European Commission</w:t>
        </w:r>
      </w:hyperlink>
      <w:r w:rsidRPr="6BD3DB60" w:rsidR="7D944ABF">
        <w:rPr>
          <w:rFonts w:ascii="Calibri" w:hAnsi="Calibri" w:eastAsia="Calibri" w:cs="Calibri"/>
          <w:noProof w:val="0"/>
          <w:sz w:val="28"/>
          <w:szCs w:val="28"/>
          <w:lang w:val="tr-TR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E443A"/>
    <w:rsid w:val="0A17C94E"/>
    <w:rsid w:val="1255F8F9"/>
    <w:rsid w:val="17282F57"/>
    <w:rsid w:val="194FE0A6"/>
    <w:rsid w:val="23A4ACA9"/>
    <w:rsid w:val="2BE9672D"/>
    <w:rsid w:val="2C5261A0"/>
    <w:rsid w:val="35EEB159"/>
    <w:rsid w:val="38957353"/>
    <w:rsid w:val="3CDE443A"/>
    <w:rsid w:val="3EB04E8B"/>
    <w:rsid w:val="4065F0D6"/>
    <w:rsid w:val="4926F3A6"/>
    <w:rsid w:val="49CB40F2"/>
    <w:rsid w:val="4E28BEFD"/>
    <w:rsid w:val="51D529A1"/>
    <w:rsid w:val="52C02BD1"/>
    <w:rsid w:val="5E9429AC"/>
    <w:rsid w:val="67818173"/>
    <w:rsid w:val="6955472E"/>
    <w:rsid w:val="6BD3DB60"/>
    <w:rsid w:val="6BED2FBA"/>
    <w:rsid w:val="6CF187A8"/>
    <w:rsid w:val="7D9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443A"/>
  <w15:chartTrackingRefBased/>
  <w15:docId w15:val="{4ABD39D1-1AE6-4AAF-A6D7-114CDB5621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BD3DB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612d88a4cfb41ef" /><Relationship Type="http://schemas.openxmlformats.org/officeDocument/2006/relationships/hyperlink" Target="https://www.oecd.org/en/topics/agriculture-and-sustainability.html" TargetMode="External" Id="Rad5788c373814b9a" /><Relationship Type="http://schemas.openxmlformats.org/officeDocument/2006/relationships/hyperlink" Target="https://agriculture.ec.europa.eu/cap-my-country/cap-strategic-plans/sweden_en" TargetMode="External" Id="R7f0ae308d90c4f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2024-12-15T12:44:02.2961382Z</dcterms:created>
  <dcterms:modified xsi:type="dcterms:W3CDTF">2024-12-15T13:18:52.0274464Z</dcterms:modified>
  <dc:creator>s c</dc:creator>
  <lastModifiedBy>s c</lastModifiedBy>
</coreProperties>
</file>