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Delegate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Committee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: United Nations Security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Council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(UNSC)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I.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Introduction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Honorable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Chair,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esteemed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delegates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,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delegation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recognizes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urgency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significance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addressing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issue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United Nations Security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Council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peaceful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crucial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maintain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stability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uphold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safeguard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security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parties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position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paper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outlines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principled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proposed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actions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addressing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>II. Background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emerged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tensions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geopolitical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interests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as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sovereign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is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committed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resolving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issue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diplomacy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adherence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III.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Respect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Sovereignty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Territorial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Integrity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strongly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upholds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sovereignty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territorial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integrity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pillars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United Nations Charter.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emphasize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must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respect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sovereignty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territorial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integrity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neighboring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countries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be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peaceful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negotiated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settlement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takes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account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legitimate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concerns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interests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parties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IV.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Importance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Mediation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firmly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believes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power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mediation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effective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upon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parties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engage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negotiations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facilitated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impartial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mediators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reach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mutually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acceptable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trust-building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measures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confidence-building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mechanisms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exchange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enhance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transparency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V.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Role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Cooperation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recognizes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importance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cooperation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addressing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encourage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relevant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Organization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Security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Cooperation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Europe (OSCE)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Eurasian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Union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(EAEU),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actively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engage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diplomatic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efforts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aimed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resolving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involvement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 platform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open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foster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stability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VI.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Humanitarian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Considerations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delegation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urges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parties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prioritize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protection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civilians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ensure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safety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well-being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crucial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uphold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refugees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internally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displaced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persons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IDPs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lastRenderedPageBreak/>
        <w:t>coordination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humanitarian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agencies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stands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ready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assistance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support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affected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populations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VII.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Strengthening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Cooperation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calls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increased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cooperation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support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resolving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encourage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United Nations,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relevant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member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states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actively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diplomatic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efforts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expertise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peacebuilding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mediation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r w:rsidRPr="00657893">
        <w:rPr>
          <w:rFonts w:asciiTheme="majorBidi" w:hAnsiTheme="majorBidi" w:cstheme="majorBidi"/>
          <w:sz w:val="24"/>
          <w:szCs w:val="24"/>
        </w:rPr>
        <w:t xml:space="preserve">VIII.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Conclusion</w:t>
      </w:r>
      <w:proofErr w:type="spellEnd"/>
    </w:p>
    <w:p w:rsidR="00657893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conclusion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committed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finding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peaceful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negotiated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border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dialogue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mediation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respect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sovereignty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territorial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integrity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essential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resolving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issue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delegation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Belarus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urges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parties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engage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constructively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prioritize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humanitarian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considerations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comprehensive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solution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upholds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regional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stability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affected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populations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p w:rsidR="005D3C0C" w:rsidRPr="00657893" w:rsidRDefault="00657893" w:rsidP="0065789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57893">
        <w:rPr>
          <w:rFonts w:asciiTheme="majorBidi" w:hAnsiTheme="majorBidi" w:cstheme="majorBidi"/>
          <w:sz w:val="24"/>
          <w:szCs w:val="24"/>
        </w:rPr>
        <w:t>Thank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893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57893">
        <w:rPr>
          <w:rFonts w:asciiTheme="majorBidi" w:hAnsiTheme="majorBidi" w:cstheme="majorBidi"/>
          <w:sz w:val="24"/>
          <w:szCs w:val="24"/>
        </w:rPr>
        <w:t>.</w:t>
      </w:r>
    </w:p>
    <w:sectPr w:rsidR="005D3C0C" w:rsidRPr="0065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3"/>
    <w:rsid w:val="005D3C0C"/>
    <w:rsid w:val="00657893"/>
    <w:rsid w:val="008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381D"/>
  <w15:chartTrackingRefBased/>
  <w15:docId w15:val="{B28BAEF1-90E1-4D48-8A31-99BF81E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 B</dc:creator>
  <cp:keywords/>
  <dc:description/>
  <cp:lastModifiedBy>Meva B</cp:lastModifiedBy>
  <cp:revision>1</cp:revision>
  <dcterms:created xsi:type="dcterms:W3CDTF">2023-05-23T15:09:00Z</dcterms:created>
  <dcterms:modified xsi:type="dcterms:W3CDTF">2023-05-23T15:09:00Z</dcterms:modified>
</cp:coreProperties>
</file>