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4043363" cy="2695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43363" cy="2695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Committee: World Health Organization (WHO)</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Country: Colombia</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Agenda Item: The Legalization of Euthanasia</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Euthanasia is the act of ending a patient's life to end their suffering, mostly caused by terminal illnesses or experiencing great pain. It can be classified under three titles: Voluntary euthanasia, when euthanasia is done by the patient’s consent; non-voluntary euthanasia, performing euthanasia managed by somebody else when the patient cannot give consent (ex. child cases, coma cases…); Involuntary euthanasia, the act of conducting euthanasia without the will of the patient.</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As the delegation of Colombia, we are aware that it's still a highly debatable subject, with the fact that there are still things that should be touched on further, such as the appropriate usage of euthanasia, punishment for its misuse, or ethics of performing euthanasia on someone who can't respond or is a child (non-voluntary cases). On top of these questions, there are also the remaining topics like the role of religion, mental health, and economic struggles of the patient. As a country that had euthanasia legalized since 1997, we believe that we at least have a more experienced vision of the topic and solutions for the possible problems the subject comes with. </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We sincerely hope that with great cooperation, we can agree on a common point. We think it's important to agree on a decision with member states to prevent an exceptional outcome for our citizens in the future.</w:t>
      </w:r>
    </w:p>
    <w:p w:rsidR="00000000" w:rsidDel="00000000" w:rsidP="00000000" w:rsidRDefault="00000000" w:rsidRPr="00000000" w14:paraId="00000012">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