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37" w:rsidRDefault="00B3244C" w:rsidP="00B3244C">
      <w:pPr>
        <w:rPr>
          <w:rFonts w:ascii="Times New Roman" w:hAnsi="Times New Roman" w:cs="Times New Roman"/>
          <w:sz w:val="24"/>
          <w:szCs w:val="24"/>
        </w:rPr>
      </w:pPr>
      <w:r w:rsidRPr="002C79CE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3406140</wp:posOffset>
            </wp:positionH>
            <wp:positionV relativeFrom="margin">
              <wp:posOffset>-318135</wp:posOffset>
            </wp:positionV>
            <wp:extent cx="2369820" cy="1282065"/>
            <wp:effectExtent l="19050" t="0" r="0" b="0"/>
            <wp:wrapSquare wrapText="bothSides"/>
            <wp:docPr id="2" name="1 Resim" descr="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2C79CE">
        <w:rPr>
          <w:rFonts w:ascii="Times New Roman" w:hAnsi="Times New Roman" w:cs="Times New Roman"/>
          <w:b/>
          <w:sz w:val="24"/>
          <w:szCs w:val="24"/>
        </w:rPr>
        <w:t>Country</w:t>
      </w:r>
      <w:proofErr w:type="spellEnd"/>
      <w:r w:rsidRPr="002C79C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677D8D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677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Libya                                          </w:t>
      </w:r>
    </w:p>
    <w:p w:rsidR="00B3244C" w:rsidRDefault="00B3244C" w:rsidP="00B324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79CE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2C79C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UNWOMEN</w:t>
      </w:r>
    </w:p>
    <w:p w:rsidR="00B3244C" w:rsidRDefault="00B3244C" w:rsidP="00B324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79CE">
        <w:rPr>
          <w:rFonts w:ascii="Times New Roman" w:hAnsi="Times New Roman" w:cs="Times New Roman"/>
          <w:b/>
          <w:sz w:val="24"/>
          <w:szCs w:val="24"/>
        </w:rPr>
        <w:t>Agenda</w:t>
      </w:r>
      <w:proofErr w:type="spellEnd"/>
      <w:r w:rsidRPr="002C79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b/>
          <w:sz w:val="24"/>
          <w:szCs w:val="24"/>
        </w:rPr>
        <w:t>Item</w:t>
      </w:r>
      <w:proofErr w:type="spellEnd"/>
      <w:r w:rsidRPr="002C79C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44C" w:rsidRDefault="00B3244C" w:rsidP="00B3244C">
      <w:pPr>
        <w:rPr>
          <w:rFonts w:ascii="Times New Roman" w:hAnsi="Times New Roman" w:cs="Times New Roman"/>
          <w:sz w:val="24"/>
          <w:szCs w:val="24"/>
        </w:rPr>
      </w:pPr>
    </w:p>
    <w:p w:rsidR="00D84F03" w:rsidRDefault="00D84F03" w:rsidP="00B3244C">
      <w:pPr>
        <w:rPr>
          <w:rFonts w:ascii="Times New Roman" w:hAnsi="Times New Roman" w:cs="Times New Roman"/>
          <w:sz w:val="24"/>
          <w:szCs w:val="24"/>
        </w:rPr>
      </w:pPr>
    </w:p>
    <w:p w:rsidR="00B3244C" w:rsidRDefault="00D84F03" w:rsidP="00B32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fourth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 xml:space="preserve">, Libya is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bigger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Mediterranean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Tunisia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Algeria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Niger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Chad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24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3244C">
        <w:rPr>
          <w:rFonts w:ascii="Times New Roman" w:hAnsi="Times New Roman" w:cs="Times New Roman"/>
          <w:sz w:val="24"/>
          <w:szCs w:val="24"/>
        </w:rPr>
        <w:t xml:space="preserve"> Sudan </w:t>
      </w:r>
      <w:proofErr w:type="spellStart"/>
      <w:r w:rsidR="00B324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3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4C">
        <w:rPr>
          <w:rFonts w:ascii="Times New Roman" w:hAnsi="Times New Roman" w:cs="Times New Roman"/>
          <w:sz w:val="24"/>
          <w:szCs w:val="24"/>
        </w:rPr>
        <w:t>Egypt</w:t>
      </w:r>
      <w:proofErr w:type="spellEnd"/>
      <w:r w:rsidR="00B3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3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3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4C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="00B324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244C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B324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3244C">
        <w:rPr>
          <w:rFonts w:ascii="Times New Roman" w:hAnsi="Times New Roman" w:cs="Times New Roman"/>
          <w:sz w:val="24"/>
          <w:szCs w:val="24"/>
        </w:rPr>
        <w:t>Libya</w:t>
      </w:r>
      <w:r w:rsidR="00B3244C" w:rsidRPr="00B3244C">
        <w:rPr>
          <w:rFonts w:ascii="Times New Roman" w:hAnsi="Times New Roman" w:cs="Times New Roman"/>
          <w:sz w:val="24"/>
          <w:szCs w:val="24"/>
        </w:rPr>
        <w:t>'</w:t>
      </w:r>
      <w:r w:rsidR="00B3244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3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4C" w:rsidRPr="00B3244C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="00B3244C" w:rsidRPr="00B3244C">
        <w:rPr>
          <w:rFonts w:ascii="Times New Roman" w:hAnsi="Times New Roman" w:cs="Times New Roman"/>
          <w:sz w:val="24"/>
          <w:szCs w:val="24"/>
        </w:rPr>
        <w:t xml:space="preserve"> is Tripoli</w:t>
      </w:r>
      <w:r w:rsidR="00B3244C">
        <w:rPr>
          <w:rFonts w:ascii="Times New Roman" w:hAnsi="Times New Roman" w:cs="Times New Roman"/>
          <w:sz w:val="24"/>
          <w:szCs w:val="24"/>
        </w:rPr>
        <w:t>.</w:t>
      </w:r>
      <w:r w:rsidR="005F24D3" w:rsidRPr="005F24D3">
        <w:t xml:space="preserve"> </w:t>
      </w:r>
      <w:r w:rsidR="005F24D3" w:rsidRPr="005F24D3">
        <w:rPr>
          <w:rFonts w:ascii="Times New Roman" w:hAnsi="Times New Roman" w:cs="Times New Roman"/>
          <w:sz w:val="24"/>
          <w:szCs w:val="24"/>
        </w:rPr>
        <w:t xml:space="preserve">Libya is a </w:t>
      </w:r>
      <w:proofErr w:type="spellStart"/>
      <w:r w:rsidR="005F24D3" w:rsidRPr="005F24D3">
        <w:rPr>
          <w:rFonts w:ascii="Times New Roman" w:hAnsi="Times New Roman" w:cs="Times New Roman"/>
          <w:sz w:val="24"/>
          <w:szCs w:val="24"/>
        </w:rPr>
        <w:t>participant</w:t>
      </w:r>
      <w:proofErr w:type="spellEnd"/>
      <w:r w:rsidR="005F24D3" w:rsidRPr="005F24D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F24D3" w:rsidRPr="005F24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F24D3" w:rsidRPr="005F24D3">
        <w:rPr>
          <w:rFonts w:ascii="Times New Roman" w:hAnsi="Times New Roman" w:cs="Times New Roman"/>
          <w:sz w:val="24"/>
          <w:szCs w:val="24"/>
        </w:rPr>
        <w:t xml:space="preserve"> OIC, OPEC, </w:t>
      </w:r>
      <w:proofErr w:type="spellStart"/>
      <w:r w:rsidR="005F24D3" w:rsidRPr="005F24D3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="005F24D3" w:rsidRPr="005F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F24D3" w:rsidRPr="005F24D3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="005F24D3" w:rsidRPr="005F24D3">
        <w:rPr>
          <w:rFonts w:ascii="Times New Roman" w:hAnsi="Times New Roman" w:cs="Times New Roman"/>
          <w:sz w:val="24"/>
          <w:szCs w:val="24"/>
        </w:rPr>
        <w:t>,</w:t>
      </w:r>
      <w:r w:rsidR="005F24D3">
        <w:rPr>
          <w:rFonts w:ascii="Times New Roman" w:hAnsi="Times New Roman" w:cs="Times New Roman"/>
          <w:sz w:val="24"/>
          <w:szCs w:val="24"/>
        </w:rPr>
        <w:t>United</w:t>
      </w:r>
      <w:proofErr w:type="gramEnd"/>
      <w:r w:rsidR="005F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4D3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="005F24D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5F24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F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4D3">
        <w:rPr>
          <w:rFonts w:ascii="Times New Roman" w:hAnsi="Times New Roman" w:cs="Times New Roman"/>
          <w:sz w:val="24"/>
          <w:szCs w:val="24"/>
        </w:rPr>
        <w:t>Arab</w:t>
      </w:r>
      <w:proofErr w:type="spellEnd"/>
      <w:r w:rsidR="005F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4D3">
        <w:rPr>
          <w:rFonts w:ascii="Times New Roman" w:hAnsi="Times New Roman" w:cs="Times New Roman"/>
          <w:sz w:val="24"/>
          <w:szCs w:val="24"/>
        </w:rPr>
        <w:t>League</w:t>
      </w:r>
      <w:proofErr w:type="spellEnd"/>
      <w:r w:rsidR="005F24D3">
        <w:rPr>
          <w:rFonts w:ascii="Times New Roman" w:hAnsi="Times New Roman" w:cs="Times New Roman"/>
          <w:sz w:val="24"/>
          <w:szCs w:val="24"/>
        </w:rPr>
        <w:t>.</w:t>
      </w:r>
      <w:r w:rsidR="005F24D3" w:rsidRPr="005F24D3">
        <w:t xml:space="preserve"> </w:t>
      </w:r>
      <w:proofErr w:type="spellStart"/>
      <w:r w:rsidR="005F24D3" w:rsidRPr="005F24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F24D3" w:rsidRPr="005F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4D3" w:rsidRPr="005F24D3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="005F24D3" w:rsidRPr="005F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4D3" w:rsidRPr="005F24D3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5F24D3" w:rsidRPr="005F24D3">
        <w:rPr>
          <w:rFonts w:ascii="Times New Roman" w:hAnsi="Times New Roman" w:cs="Times New Roman"/>
          <w:sz w:val="24"/>
          <w:szCs w:val="24"/>
        </w:rPr>
        <w:t xml:space="preserve"> of Libya is Modern Standard </w:t>
      </w:r>
      <w:proofErr w:type="spellStart"/>
      <w:proofErr w:type="gramStart"/>
      <w:r w:rsidR="005F24D3" w:rsidRPr="005F24D3">
        <w:rPr>
          <w:rFonts w:ascii="Times New Roman" w:hAnsi="Times New Roman" w:cs="Times New Roman"/>
          <w:sz w:val="24"/>
          <w:szCs w:val="24"/>
        </w:rPr>
        <w:t>Arabic</w:t>
      </w:r>
      <w:proofErr w:type="spellEnd"/>
      <w:r w:rsidR="005F24D3" w:rsidRPr="005F24D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F24D3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5F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4D3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5F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4D3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5F24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F24D3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5F24D3">
        <w:rPr>
          <w:rFonts w:ascii="Times New Roman" w:hAnsi="Times New Roman" w:cs="Times New Roman"/>
          <w:sz w:val="24"/>
          <w:szCs w:val="24"/>
        </w:rPr>
        <w:t xml:space="preserve"> of Libya </w:t>
      </w:r>
      <w:r w:rsidR="00677D8D">
        <w:rPr>
          <w:rFonts w:ascii="Times New Roman" w:hAnsi="Times New Roman" w:cs="Times New Roman"/>
          <w:sz w:val="24"/>
          <w:szCs w:val="24"/>
        </w:rPr>
        <w:t xml:space="preserve">is </w:t>
      </w:r>
      <w:r w:rsidR="001E122E">
        <w:rPr>
          <w:rFonts w:ascii="Times New Roman" w:hAnsi="Times New Roman" w:cs="Times New Roman"/>
          <w:sz w:val="24"/>
          <w:szCs w:val="24"/>
        </w:rPr>
        <w:t>7,137,931</w:t>
      </w:r>
      <w:r w:rsidR="005F24D3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İn Libya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D84F03">
        <w:rPr>
          <w:rFonts w:ascii="Times New Roman" w:hAnsi="Times New Roman" w:cs="Times New Roman"/>
          <w:sz w:val="24"/>
          <w:szCs w:val="24"/>
        </w:rPr>
        <w:t>etween</w:t>
      </w:r>
      <w:proofErr w:type="spellEnd"/>
      <w:r w:rsidRPr="00D84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%90-%95 </w:t>
      </w:r>
      <w:r w:rsidRPr="00D84F03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D84F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0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D8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0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8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03">
        <w:rPr>
          <w:rFonts w:ascii="Times New Roman" w:hAnsi="Times New Roman" w:cs="Times New Roman"/>
          <w:sz w:val="24"/>
          <w:szCs w:val="24"/>
        </w:rPr>
        <w:t>Sunni</w:t>
      </w:r>
      <w:proofErr w:type="spellEnd"/>
      <w:r w:rsidRPr="00D8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03">
        <w:rPr>
          <w:rFonts w:ascii="Times New Roman" w:hAnsi="Times New Roman" w:cs="Times New Roman"/>
          <w:sz w:val="24"/>
          <w:szCs w:val="24"/>
        </w:rPr>
        <w:t>Muslims</w:t>
      </w:r>
      <w:proofErr w:type="spellEnd"/>
      <w:r w:rsidRPr="00D84F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%4.5-%6 </w:t>
      </w:r>
      <w:proofErr w:type="spellStart"/>
      <w:r w:rsidRPr="00D84F0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8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03">
        <w:rPr>
          <w:rFonts w:ascii="Times New Roman" w:hAnsi="Times New Roman" w:cs="Times New Roman"/>
          <w:sz w:val="24"/>
          <w:szCs w:val="24"/>
        </w:rPr>
        <w:t>Ibadi</w:t>
      </w:r>
      <w:proofErr w:type="spellEnd"/>
      <w:r w:rsidRPr="00D8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03">
        <w:rPr>
          <w:rFonts w:ascii="Times New Roman" w:hAnsi="Times New Roman" w:cs="Times New Roman"/>
          <w:sz w:val="24"/>
          <w:szCs w:val="24"/>
        </w:rPr>
        <w:t>Muslims</w:t>
      </w:r>
      <w:proofErr w:type="spellEnd"/>
      <w:r w:rsidRPr="00D84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F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8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03">
        <w:rPr>
          <w:rFonts w:ascii="Times New Roman" w:hAnsi="Times New Roman" w:cs="Times New Roman"/>
          <w:sz w:val="24"/>
          <w:szCs w:val="24"/>
        </w:rPr>
        <w:t>remaining</w:t>
      </w:r>
      <w:proofErr w:type="spellEnd"/>
      <w:r w:rsidRPr="00D8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03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D8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8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03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D8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03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D84F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84F03">
        <w:rPr>
          <w:rFonts w:ascii="Times New Roman" w:hAnsi="Times New Roman" w:cs="Times New Roman"/>
          <w:sz w:val="24"/>
          <w:szCs w:val="24"/>
        </w:rPr>
        <w:t>Christians</w:t>
      </w:r>
      <w:proofErr w:type="spellEnd"/>
      <w:r w:rsidRPr="00D84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F03">
        <w:rPr>
          <w:rFonts w:ascii="Times New Roman" w:hAnsi="Times New Roman" w:cs="Times New Roman"/>
          <w:sz w:val="24"/>
          <w:szCs w:val="24"/>
        </w:rPr>
        <w:t>Hindus</w:t>
      </w:r>
      <w:proofErr w:type="spellEnd"/>
      <w:r w:rsidRPr="00D84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F03">
        <w:rPr>
          <w:rFonts w:ascii="Times New Roman" w:hAnsi="Times New Roman" w:cs="Times New Roman"/>
          <w:sz w:val="24"/>
          <w:szCs w:val="24"/>
        </w:rPr>
        <w:t>Baha'is</w:t>
      </w:r>
      <w:proofErr w:type="spellEnd"/>
      <w:r w:rsidRPr="00D84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F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8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03">
        <w:rPr>
          <w:rFonts w:ascii="Times New Roman" w:hAnsi="Times New Roman" w:cs="Times New Roman"/>
          <w:sz w:val="24"/>
          <w:szCs w:val="24"/>
        </w:rPr>
        <w:t>Buddhists</w:t>
      </w:r>
      <w:proofErr w:type="spellEnd"/>
      <w:r w:rsidRPr="00D84F03">
        <w:rPr>
          <w:rFonts w:ascii="Times New Roman" w:hAnsi="Times New Roman" w:cs="Times New Roman"/>
          <w:sz w:val="24"/>
          <w:szCs w:val="24"/>
        </w:rPr>
        <w:t>.</w:t>
      </w:r>
      <w:r w:rsidR="00781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D10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781D10">
        <w:rPr>
          <w:rFonts w:ascii="Times New Roman" w:hAnsi="Times New Roman" w:cs="Times New Roman"/>
          <w:sz w:val="24"/>
          <w:szCs w:val="24"/>
        </w:rPr>
        <w:t xml:space="preserve"> of Libya </w:t>
      </w:r>
      <w:proofErr w:type="spellStart"/>
      <w:r w:rsidR="00781D1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781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D10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781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D10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="00781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D10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="00781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D1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81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D10">
        <w:rPr>
          <w:rFonts w:ascii="Times New Roman" w:hAnsi="Times New Roman" w:cs="Times New Roman"/>
          <w:sz w:val="24"/>
          <w:szCs w:val="24"/>
        </w:rPr>
        <w:t>centuries</w:t>
      </w:r>
      <w:proofErr w:type="spellEnd"/>
      <w:r w:rsidR="001E1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22E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="001E122E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1E122E">
        <w:rPr>
          <w:rFonts w:ascii="Times New Roman" w:hAnsi="Times New Roman" w:cs="Times New Roman"/>
          <w:sz w:val="24"/>
          <w:szCs w:val="24"/>
        </w:rPr>
        <w:t>gained</w:t>
      </w:r>
      <w:proofErr w:type="spellEnd"/>
      <w:r w:rsidR="001E1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22E">
        <w:rPr>
          <w:rFonts w:ascii="Times New Roman" w:hAnsi="Times New Roman" w:cs="Times New Roman"/>
          <w:sz w:val="24"/>
          <w:szCs w:val="24"/>
        </w:rPr>
        <w:t>independence</w:t>
      </w:r>
      <w:proofErr w:type="spellEnd"/>
      <w:r w:rsidR="001E122E">
        <w:rPr>
          <w:rFonts w:ascii="Times New Roman" w:hAnsi="Times New Roman" w:cs="Times New Roman"/>
          <w:sz w:val="24"/>
          <w:szCs w:val="24"/>
        </w:rPr>
        <w:t xml:space="preserve"> in 1951. </w:t>
      </w:r>
    </w:p>
    <w:p w:rsidR="00F9540A" w:rsidRDefault="002C79CE" w:rsidP="00B32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Gaddafi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in Libya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contributed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nation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associations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as 1955, but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suffered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Gaddafi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since total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independence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C79CE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2C79CE">
        <w:rPr>
          <w:rFonts w:ascii="Times New Roman" w:hAnsi="Times New Roman" w:cs="Times New Roman"/>
          <w:sz w:val="24"/>
          <w:szCs w:val="24"/>
        </w:rPr>
        <w:t>conceivable</w:t>
      </w:r>
      <w:proofErr w:type="spellEnd"/>
      <w:r w:rsidR="00F9540A">
        <w:rPr>
          <w:rFonts w:ascii="Times New Roman" w:hAnsi="Times New Roman" w:cs="Times New Roman"/>
          <w:sz w:val="24"/>
          <w:szCs w:val="24"/>
        </w:rPr>
        <w:t>.</w:t>
      </w:r>
    </w:p>
    <w:p w:rsidR="00D2727C" w:rsidRDefault="00F9540A" w:rsidP="00B32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F9540A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in Libya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enjoyed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engage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prior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Gaddafi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gained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vote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in 1920.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Charter of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Masses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Declaration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Authority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passed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Gaddafi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in 1977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1988,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granted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as men in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finding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independence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freedoms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suffered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Gaddafi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regime's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restrictions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End"/>
      <w:r w:rsidRPr="00F954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in Libya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discriminated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conventional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disadvantaged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matters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divorce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custody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assault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>.</w:t>
      </w:r>
    </w:p>
    <w:p w:rsidR="00742A93" w:rsidRDefault="00693559" w:rsidP="00B21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9355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93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559">
        <w:rPr>
          <w:rFonts w:ascii="Times New Roman" w:hAnsi="Times New Roman" w:cs="Times New Roman"/>
          <w:sz w:val="24"/>
          <w:szCs w:val="24"/>
        </w:rPr>
        <w:t>nearly</w:t>
      </w:r>
      <w:proofErr w:type="spellEnd"/>
      <w:r w:rsidRPr="00693559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69355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693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5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3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559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693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559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693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559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693559">
        <w:rPr>
          <w:rFonts w:ascii="Times New Roman" w:hAnsi="Times New Roman" w:cs="Times New Roman"/>
          <w:sz w:val="24"/>
          <w:szCs w:val="24"/>
        </w:rPr>
        <w:t xml:space="preserve"> in Libya has </w:t>
      </w:r>
      <w:proofErr w:type="spellStart"/>
      <w:r w:rsidRPr="0069355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693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559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693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55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93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693559">
        <w:rPr>
          <w:rFonts w:ascii="Times New Roman" w:hAnsi="Times New Roman" w:cs="Times New Roman"/>
          <w:sz w:val="24"/>
          <w:szCs w:val="24"/>
        </w:rPr>
        <w:t>7.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F032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540A"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Males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bulk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workforce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in Libya. Men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540A">
        <w:rPr>
          <w:rFonts w:ascii="Times New Roman" w:hAnsi="Times New Roman" w:cs="Times New Roman"/>
          <w:sz w:val="24"/>
          <w:szCs w:val="24"/>
        </w:rPr>
        <w:t>1.3</w:t>
      </w:r>
      <w:proofErr w:type="gram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workforce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in 2019,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627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thousand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2010,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of men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stayed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at 46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females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males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2020, Libya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540A">
        <w:rPr>
          <w:rFonts w:ascii="Times New Roman" w:hAnsi="Times New Roman" w:cs="Times New Roman"/>
          <w:sz w:val="24"/>
          <w:szCs w:val="24"/>
        </w:rPr>
        <w:t>1.9</w:t>
      </w:r>
      <w:proofErr w:type="gram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0A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F9540A">
        <w:rPr>
          <w:rFonts w:ascii="Times New Roman" w:hAnsi="Times New Roman" w:cs="Times New Roman"/>
          <w:sz w:val="24"/>
          <w:szCs w:val="24"/>
        </w:rPr>
        <w:t>.</w:t>
      </w:r>
      <w:r w:rsidR="00742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D8D" w:rsidRDefault="00F9540A" w:rsidP="00B21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D8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handle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coeducational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constructed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Libya.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separate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boys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in West Libya,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regulated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select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careers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country's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standardized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helps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pupils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compete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on an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>.</w:t>
      </w:r>
      <w:r w:rsidR="00742A93" w:rsidRPr="00742A93"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Libya,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educat</w:t>
      </w:r>
      <w:r w:rsidR="00677D8D">
        <w:rPr>
          <w:rFonts w:ascii="Times New Roman" w:hAnsi="Times New Roman" w:cs="Times New Roman"/>
          <w:sz w:val="24"/>
          <w:szCs w:val="24"/>
        </w:rPr>
        <w:t>ional</w:t>
      </w:r>
      <w:proofErr w:type="spellEnd"/>
      <w:r w:rsidR="0067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D8D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="00677D8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677D8D">
        <w:rPr>
          <w:rFonts w:ascii="Times New Roman" w:hAnsi="Times New Roman" w:cs="Times New Roman"/>
          <w:sz w:val="24"/>
          <w:szCs w:val="24"/>
        </w:rPr>
        <w:t>achieved</w:t>
      </w:r>
      <w:proofErr w:type="spellEnd"/>
      <w:r w:rsidR="00677D8D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742A93" w:rsidRDefault="00677D8D" w:rsidP="00B21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A93" w:rsidRPr="00742A93">
        <w:rPr>
          <w:rFonts w:ascii="Times New Roman" w:hAnsi="Times New Roman" w:cs="Times New Roman"/>
          <w:sz w:val="24"/>
          <w:szCs w:val="24"/>
        </w:rPr>
        <w:t xml:space="preserve">Libya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52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Libyan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42A93" w:rsidRPr="00742A9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D405DD">
        <w:rPr>
          <w:rFonts w:ascii="Times New Roman" w:hAnsi="Times New Roman" w:cs="Times New Roman"/>
          <w:sz w:val="24"/>
          <w:szCs w:val="24"/>
        </w:rPr>
        <w:t xml:space="preserve"> </w:t>
      </w:r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reached</w:t>
      </w:r>
      <w:proofErr w:type="spellEnd"/>
      <w:proofErr w:type="gram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53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of </w:t>
      </w:r>
      <w:r w:rsidR="00D40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Libyan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r w:rsidR="00D405DD">
        <w:rPr>
          <w:rFonts w:ascii="Times New Roman" w:hAnsi="Times New Roman" w:cs="Times New Roman"/>
          <w:sz w:val="24"/>
          <w:szCs w:val="24"/>
        </w:rPr>
        <w:t xml:space="preserve"> </w:t>
      </w:r>
      <w:r w:rsidR="00742A93" w:rsidRPr="00742A93">
        <w:rPr>
          <w:rFonts w:ascii="Times New Roman" w:hAnsi="Times New Roman" w:cs="Times New Roman"/>
          <w:sz w:val="24"/>
          <w:szCs w:val="24"/>
        </w:rPr>
        <w:t xml:space="preserve">men.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attained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men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inequality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67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of men, 77% of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of 25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planned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finish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93" w:rsidRPr="00742A93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742A93" w:rsidRPr="00742A93">
        <w:rPr>
          <w:rFonts w:ascii="Times New Roman" w:hAnsi="Times New Roman" w:cs="Times New Roman"/>
          <w:sz w:val="24"/>
          <w:szCs w:val="24"/>
        </w:rPr>
        <w:t>.</w:t>
      </w:r>
    </w:p>
    <w:p w:rsidR="00742A93" w:rsidRDefault="00742A93" w:rsidP="00B2126E">
      <w:pPr>
        <w:rPr>
          <w:rFonts w:ascii="Times New Roman" w:hAnsi="Times New Roman" w:cs="Times New Roman"/>
          <w:sz w:val="24"/>
          <w:szCs w:val="24"/>
        </w:rPr>
      </w:pPr>
    </w:p>
    <w:p w:rsidR="00693559" w:rsidRDefault="00742A93" w:rsidP="00B21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2F7204" w:rsidRPr="002F72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F7204" w:rsidRPr="002F7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204" w:rsidRPr="002F720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2F7204" w:rsidRPr="002F7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204" w:rsidRPr="002F7204">
        <w:rPr>
          <w:rFonts w:ascii="Times New Roman" w:hAnsi="Times New Roman" w:cs="Times New Roman"/>
          <w:sz w:val="24"/>
          <w:szCs w:val="24"/>
        </w:rPr>
        <w:t>Transitional</w:t>
      </w:r>
      <w:proofErr w:type="spellEnd"/>
      <w:r w:rsidR="002F7204" w:rsidRPr="002F7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204" w:rsidRPr="002F7204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="002F7204" w:rsidRPr="002F7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204" w:rsidRPr="002F7204">
        <w:rPr>
          <w:rFonts w:ascii="Times New Roman" w:hAnsi="Times New Roman" w:cs="Times New Roman"/>
          <w:sz w:val="24"/>
          <w:szCs w:val="24"/>
        </w:rPr>
        <w:t>released</w:t>
      </w:r>
      <w:proofErr w:type="spellEnd"/>
      <w:r w:rsidR="002F7204" w:rsidRPr="002F7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204" w:rsidRPr="002F72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F7204" w:rsidRPr="002F7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204" w:rsidRPr="002F7204">
        <w:rPr>
          <w:rFonts w:ascii="Times New Roman" w:hAnsi="Times New Roman" w:cs="Times New Roman"/>
          <w:sz w:val="24"/>
          <w:szCs w:val="24"/>
        </w:rPr>
        <w:t>Libyan</w:t>
      </w:r>
      <w:proofErr w:type="spellEnd"/>
      <w:r w:rsidR="002F7204" w:rsidRPr="002F7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204" w:rsidRPr="002F7204">
        <w:rPr>
          <w:rFonts w:ascii="Times New Roman" w:hAnsi="Times New Roman" w:cs="Times New Roman"/>
          <w:sz w:val="24"/>
          <w:szCs w:val="24"/>
        </w:rPr>
        <w:t>Constitutional</w:t>
      </w:r>
      <w:proofErr w:type="spellEnd"/>
      <w:r w:rsidR="002F7204" w:rsidRPr="002F7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204" w:rsidRPr="002F7204">
        <w:rPr>
          <w:rFonts w:ascii="Times New Roman" w:hAnsi="Times New Roman" w:cs="Times New Roman"/>
          <w:sz w:val="24"/>
          <w:szCs w:val="24"/>
        </w:rPr>
        <w:t>Declaration</w:t>
      </w:r>
      <w:proofErr w:type="spellEnd"/>
      <w:r w:rsidR="002F7204" w:rsidRPr="002F72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F7204" w:rsidRPr="002F7204">
        <w:rPr>
          <w:rFonts w:ascii="Times New Roman" w:hAnsi="Times New Roman" w:cs="Times New Roman"/>
          <w:sz w:val="24"/>
          <w:szCs w:val="24"/>
        </w:rPr>
        <w:t>Interim</w:t>
      </w:r>
      <w:proofErr w:type="spellEnd"/>
      <w:r w:rsidR="002F7204" w:rsidRPr="002F7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204" w:rsidRPr="002F7204">
        <w:rPr>
          <w:rFonts w:ascii="Times New Roman" w:hAnsi="Times New Roman" w:cs="Times New Roman"/>
          <w:sz w:val="24"/>
          <w:szCs w:val="24"/>
        </w:rPr>
        <w:t>Constitution</w:t>
      </w:r>
      <w:proofErr w:type="spellEnd"/>
      <w:r w:rsidR="002F7204" w:rsidRPr="002F7204">
        <w:rPr>
          <w:rFonts w:ascii="Times New Roman" w:hAnsi="Times New Roman" w:cs="Times New Roman"/>
          <w:sz w:val="24"/>
          <w:szCs w:val="24"/>
        </w:rPr>
        <w:t>) in 2011,</w:t>
      </w:r>
      <w:r w:rsidR="002F7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2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F7204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="002F7204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="002F72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="002F7204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="002F72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F7204" w:rsidRPr="002F7204">
        <w:rPr>
          <w:rFonts w:ascii="Times New Roman" w:hAnsi="Times New Roman" w:cs="Times New Roman"/>
          <w:sz w:val="24"/>
          <w:szCs w:val="24"/>
        </w:rPr>
        <w:t>Islamic</w:t>
      </w:r>
      <w:proofErr w:type="spellEnd"/>
      <w:proofErr w:type="gramEnd"/>
      <w:r w:rsidR="002F7204" w:rsidRPr="002F7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204" w:rsidRPr="002F7204">
        <w:rPr>
          <w:rFonts w:ascii="Times New Roman" w:hAnsi="Times New Roman" w:cs="Times New Roman"/>
          <w:sz w:val="24"/>
          <w:szCs w:val="24"/>
        </w:rPr>
        <w:t>Sharia</w:t>
      </w:r>
      <w:proofErr w:type="spellEnd"/>
      <w:r w:rsidR="002F7204" w:rsidRPr="002F720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2F7204" w:rsidRPr="002F7204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="002F7204" w:rsidRPr="002F720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2F7204" w:rsidRPr="002F72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F7204" w:rsidRPr="002F7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204" w:rsidRPr="002F7204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="002F7204" w:rsidRPr="002F7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204" w:rsidRPr="002F7204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="002F7204" w:rsidRPr="002F72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F7204" w:rsidRPr="002F7204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2F7204" w:rsidRPr="002F72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F7204" w:rsidRPr="002F7204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2F7204" w:rsidRPr="002F7204">
        <w:rPr>
          <w:rFonts w:ascii="Times New Roman" w:hAnsi="Times New Roman" w:cs="Times New Roman"/>
          <w:sz w:val="24"/>
          <w:szCs w:val="24"/>
        </w:rPr>
        <w:t xml:space="preserve"> 1.</w:t>
      </w:r>
      <w:r w:rsidR="00B2126E" w:rsidRPr="00B2126E">
        <w:t xml:space="preserve"> </w:t>
      </w:r>
      <w:proofErr w:type="spellStart"/>
      <w:r w:rsidR="00B2126E">
        <w:rPr>
          <w:rFonts w:ascii="Times New Roman" w:hAnsi="Times New Roman" w:cs="Times New Roman"/>
          <w:sz w:val="24"/>
          <w:szCs w:val="24"/>
        </w:rPr>
        <w:t>B</w:t>
      </w:r>
      <w:r w:rsidR="00B2126E" w:rsidRPr="00B2126E">
        <w:rPr>
          <w:rFonts w:ascii="Times New Roman" w:hAnsi="Times New Roman" w:cs="Times New Roman"/>
          <w:sz w:val="24"/>
          <w:szCs w:val="24"/>
        </w:rPr>
        <w:t>ecause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Libyan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Constitutional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Declaration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Libya is a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profoundly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patriarchal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paternalistic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strongl</w:t>
      </w:r>
      <w:r w:rsidR="00B2126E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>
        <w:rPr>
          <w:rFonts w:ascii="Times New Roman" w:hAnsi="Times New Roman" w:cs="Times New Roman"/>
          <w:sz w:val="24"/>
          <w:szCs w:val="24"/>
        </w:rPr>
        <w:t>gendered</w:t>
      </w:r>
      <w:proofErr w:type="spellEnd"/>
      <w:r w:rsid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>
        <w:rPr>
          <w:rFonts w:ascii="Times New Roman" w:hAnsi="Times New Roman" w:cs="Times New Roman"/>
          <w:sz w:val="24"/>
          <w:szCs w:val="24"/>
        </w:rPr>
        <w:t>division</w:t>
      </w:r>
      <w:proofErr w:type="spellEnd"/>
      <w:r w:rsidR="00B2126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2126E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="00B212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households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workplaces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civic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life,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reinforced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poli</w:t>
      </w:r>
      <w:r w:rsidR="00B2126E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B212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126E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>
        <w:rPr>
          <w:rFonts w:ascii="Times New Roman" w:hAnsi="Times New Roman" w:cs="Times New Roman"/>
          <w:sz w:val="24"/>
          <w:szCs w:val="24"/>
        </w:rPr>
        <w:t>portrayals</w:t>
      </w:r>
      <w:proofErr w:type="spellEnd"/>
      <w:r w:rsid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curricula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reinforce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disempowering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stereotypes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. On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="00B21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126E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 w:rsid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women’s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advocates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>.</w:t>
      </w:r>
      <w:r w:rsidR="00E84294" w:rsidRPr="00E84294"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homes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involvement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generating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scarce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instructors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nearly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hired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service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relatively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prospects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typically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loans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mentorship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94" w:rsidRPr="00E84294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="00E84294" w:rsidRPr="00E84294">
        <w:rPr>
          <w:rFonts w:ascii="Times New Roman" w:hAnsi="Times New Roman" w:cs="Times New Roman"/>
          <w:sz w:val="24"/>
          <w:szCs w:val="24"/>
        </w:rPr>
        <w:t>.</w:t>
      </w:r>
    </w:p>
    <w:p w:rsidR="00907EB8" w:rsidRPr="00DC5AA4" w:rsidRDefault="00DC5AA4" w:rsidP="00907EB8">
      <w:pPr>
        <w:spacing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prevalent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name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>.</w:t>
      </w:r>
      <w:r w:rsidR="00B2126E" w:rsidRPr="00B2126E"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seem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, yet it has a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on us.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deeply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inside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6E" w:rsidRPr="00B2126E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="00B2126E" w:rsidRPr="00B2126E">
        <w:rPr>
          <w:rFonts w:ascii="Times New Roman" w:hAnsi="Times New Roman" w:cs="Times New Roman"/>
          <w:sz w:val="24"/>
          <w:szCs w:val="24"/>
        </w:rPr>
        <w:t>.</w:t>
      </w:r>
      <w:r w:rsidR="00585F97" w:rsidRPr="00585F97">
        <w:rPr>
          <w:rFonts w:ascii="Cambria" w:hAnsi="Cambria"/>
          <w:color w:val="212121"/>
          <w:sz w:val="37"/>
          <w:szCs w:val="37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most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key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point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remember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is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that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mobbing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is not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based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on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gender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statistically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high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proportion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of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women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who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experience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mobbing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suggests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that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it is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gender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dependent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="00907EB8" w:rsidRPr="00907EB8"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Results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pertaining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gender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disparities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have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frequently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been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erratic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and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ambiguous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Bullying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incidents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at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work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that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are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gender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related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can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vary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by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culture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and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nation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="00907EB8" w:rsidRPr="00907EB8">
        <w:t xml:space="preserve"> </w:t>
      </w:r>
      <w:r w:rsidR="00907EB8">
        <w:t xml:space="preserve"> </w:t>
      </w:r>
    </w:p>
    <w:p w:rsidR="00DC5AA4" w:rsidRDefault="00DC5AA4" w:rsidP="00907E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677D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Gender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however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can be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said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have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significant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and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significant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impact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on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mobbing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However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in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majority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of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research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mobbing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victims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are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two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thirds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women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and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one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third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men.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Women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are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more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likely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than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men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experience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mobbing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according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majority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of </w:t>
      </w:r>
      <w:proofErr w:type="spellStart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studies</w:t>
      </w:r>
      <w:proofErr w:type="spellEnd"/>
      <w:r w:rsidR="00907EB8"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DC5AA4"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majority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of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research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finding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greater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bullying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rates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for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women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utilized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self-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labelling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as a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way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quantify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workplace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bullying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while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studies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reporting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higher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bullying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rates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for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males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albeit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much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fewer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often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used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behavioral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experience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method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according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pattern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that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gram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can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</w:t>
      </w:r>
      <w:proofErr w:type="gram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seen</w:t>
      </w:r>
      <w:proofErr w:type="spellEnd"/>
      <w:r w:rsidRPr="00DC5A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DC5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270" w:rsidRDefault="00DC5AA4" w:rsidP="00907EB8">
      <w:pPr>
        <w:spacing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585F97">
        <w:rPr>
          <w:rFonts w:ascii="Cambria" w:hAnsi="Cambria"/>
          <w:color w:val="212121"/>
          <w:sz w:val="37"/>
          <w:szCs w:val="37"/>
          <w:shd w:val="clear" w:color="auto" w:fill="FFFFFF"/>
        </w:rPr>
        <w:t xml:space="preserve"> </w:t>
      </w:r>
      <w:r>
        <w:rPr>
          <w:rFonts w:ascii="Cambria" w:hAnsi="Cambria"/>
          <w:color w:val="212121"/>
          <w:sz w:val="37"/>
          <w:szCs w:val="37"/>
          <w:shd w:val="clear" w:color="auto" w:fill="FFFFFF"/>
        </w:rPr>
        <w:t xml:space="preserve"> 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experience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of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women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job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market has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always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been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substantially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different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from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that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of men. As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highlighted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institutional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reports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Equal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Opportunities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Committee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of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European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Commission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“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flex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security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” in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workplace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and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equal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opportunities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),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women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are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subjected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daily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acts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of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persecution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and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violence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family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and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social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environments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especially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women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who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have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broken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mold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of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traditional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“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working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stereotypes</w:t>
      </w:r>
      <w:proofErr w:type="spellEnd"/>
      <w:r w:rsidRPr="00907E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”.</w:t>
      </w:r>
    </w:p>
    <w:p w:rsidR="00911EBF" w:rsidRDefault="00217DD7" w:rsidP="00907EB8">
      <w:pPr>
        <w:spacing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 xml:space="preserve">      </w:t>
      </w:r>
      <w:r w:rsidR="00911EBF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  <w:lang w:eastAsia="tr-TR"/>
        </w:rPr>
        <w:drawing>
          <wp:inline distT="0" distB="0" distL="0" distR="0">
            <wp:extent cx="4324350" cy="2214630"/>
            <wp:effectExtent l="19050" t="0" r="0" b="0"/>
            <wp:docPr id="7" name="0 Resim" descr="12359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594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7356" cy="222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EBF" w:rsidRDefault="00911EBF" w:rsidP="00907EB8">
      <w:pPr>
        <w:spacing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BA557F" w:rsidRDefault="00677D8D" w:rsidP="00907EB8">
      <w:pPr>
        <w:spacing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Mobbing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should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be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made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known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public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and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brought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their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attention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general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public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has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be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aware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of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impacts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and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consequences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of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mobbing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and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should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be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educated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how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combat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it.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There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should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be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research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erode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gender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roles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We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believe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that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by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working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together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we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can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use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our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power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change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political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and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social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climate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which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we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live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We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are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hopeful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that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delegates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present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can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help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us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solve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this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issue</w:t>
      </w:r>
      <w:proofErr w:type="spellEnd"/>
      <w:r w:rsidR="00911EBF" w:rsidRPr="00911E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BA557F" w:rsidRDefault="00BA557F" w:rsidP="00907EB8">
      <w:pPr>
        <w:spacing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BA557F" w:rsidRPr="00217DD7" w:rsidRDefault="00217DD7" w:rsidP="00907EB8">
      <w:pPr>
        <w:spacing w:line="240" w:lineRule="auto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proofErr w:type="spellStart"/>
      <w:r w:rsidRPr="00217DD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References</w:t>
      </w:r>
      <w:proofErr w:type="spellEnd"/>
      <w:r w:rsidRPr="00217DD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:</w:t>
      </w:r>
    </w:p>
    <w:p w:rsidR="00BA557F" w:rsidRDefault="00D26366" w:rsidP="00907EB8">
      <w:pPr>
        <w:spacing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hyperlink r:id="rId9" w:history="1">
        <w:r w:rsidR="00217DD7" w:rsidRPr="004D3368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https://en.wikipedia.org/wiki/Libya</w:t>
        </w:r>
      </w:hyperlink>
      <w:r w:rsidR="00217DD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BA557F" w:rsidRDefault="00D26366" w:rsidP="00907E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A557F" w:rsidRPr="004D3368">
          <w:rPr>
            <w:rStyle w:val="Kpr"/>
            <w:rFonts w:ascii="Times New Roman" w:hAnsi="Times New Roman" w:cs="Times New Roman"/>
            <w:sz w:val="24"/>
            <w:szCs w:val="24"/>
          </w:rPr>
          <w:t>https://www.statista.com/statistics/1235946/number-of-people-employed-in-libya-by-gender/</w:t>
        </w:r>
      </w:hyperlink>
    </w:p>
    <w:p w:rsidR="00BA557F" w:rsidRDefault="00D26366" w:rsidP="00907E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A557F" w:rsidRPr="004D3368">
          <w:rPr>
            <w:rStyle w:val="Kpr"/>
            <w:rFonts w:ascii="Times New Roman" w:hAnsi="Times New Roman" w:cs="Times New Roman"/>
            <w:sz w:val="24"/>
            <w:szCs w:val="24"/>
          </w:rPr>
          <w:t>https://borgenproject.org/girls-education-in-libya/</w:t>
        </w:r>
      </w:hyperlink>
    </w:p>
    <w:p w:rsidR="00BA557F" w:rsidRDefault="00D26366" w:rsidP="00907E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A557F" w:rsidRPr="004D3368">
          <w:rPr>
            <w:rStyle w:val="Kpr"/>
            <w:rFonts w:ascii="Times New Roman" w:hAnsi="Times New Roman" w:cs="Times New Roman"/>
            <w:sz w:val="24"/>
            <w:szCs w:val="24"/>
          </w:rPr>
          <w:t>https://www.ncbi.nlm.nih.gov/pmc/articles/PMC7926862/</w:t>
        </w:r>
      </w:hyperlink>
    </w:p>
    <w:p w:rsidR="00BA557F" w:rsidRDefault="00D26366" w:rsidP="00907E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03364" w:rsidRPr="004D3368">
          <w:rPr>
            <w:rStyle w:val="Kpr"/>
            <w:rFonts w:ascii="Times New Roman" w:hAnsi="Times New Roman" w:cs="Times New Roman"/>
            <w:sz w:val="24"/>
            <w:szCs w:val="24"/>
          </w:rPr>
          <w:t>https://data.worldbank.org/indicator/SL.TLF.TOTL.FE.ZS?locations=LY</w:t>
        </w:r>
      </w:hyperlink>
    </w:p>
    <w:p w:rsidR="00B03364" w:rsidRDefault="00D26366" w:rsidP="00907E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03364" w:rsidRPr="004D3368">
          <w:rPr>
            <w:rStyle w:val="Kpr"/>
            <w:rFonts w:ascii="Times New Roman" w:hAnsi="Times New Roman" w:cs="Times New Roman"/>
            <w:sz w:val="24"/>
            <w:szCs w:val="24"/>
          </w:rPr>
          <w:t>https://www.cia.gov/the-world-factbook/countries/libya/</w:t>
        </w:r>
      </w:hyperlink>
    </w:p>
    <w:p w:rsidR="00B03364" w:rsidRDefault="00D26366" w:rsidP="00907E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03364" w:rsidRPr="004D3368">
          <w:rPr>
            <w:rStyle w:val="Kpr"/>
            <w:rFonts w:ascii="Times New Roman" w:hAnsi="Times New Roman" w:cs="Times New Roman"/>
            <w:sz w:val="24"/>
            <w:szCs w:val="24"/>
          </w:rPr>
          <w:t>http://www.genderconcerns.org/country-in-focus/libya/the-situation-of-women-in-libya/</w:t>
        </w:r>
      </w:hyperlink>
    </w:p>
    <w:p w:rsidR="00B03364" w:rsidRDefault="00D26366" w:rsidP="00907E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03364" w:rsidRPr="004D3368">
          <w:rPr>
            <w:rStyle w:val="Kpr"/>
            <w:rFonts w:ascii="Times New Roman" w:hAnsi="Times New Roman" w:cs="Times New Roman"/>
            <w:sz w:val="24"/>
            <w:szCs w:val="24"/>
          </w:rPr>
          <w:t>https://www.constituteproject.org/constitution/Libya_2011.pdf</w:t>
        </w:r>
      </w:hyperlink>
    </w:p>
    <w:p w:rsidR="00B03364" w:rsidRDefault="00D26366" w:rsidP="00907E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03364" w:rsidRPr="004D3368">
          <w:rPr>
            <w:rStyle w:val="Kpr"/>
            <w:rFonts w:ascii="Times New Roman" w:hAnsi="Times New Roman" w:cs="Times New Roman"/>
            <w:sz w:val="24"/>
            <w:szCs w:val="24"/>
          </w:rPr>
          <w:t>https://pdf.usaid.gov/pdf_docs/PA00WRDD.pdf</w:t>
        </w:r>
      </w:hyperlink>
    </w:p>
    <w:p w:rsidR="00B03364" w:rsidRDefault="00D26366" w:rsidP="00907E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03364" w:rsidRPr="004D3368">
          <w:rPr>
            <w:rStyle w:val="Kpr"/>
            <w:rFonts w:ascii="Times New Roman" w:hAnsi="Times New Roman" w:cs="Times New Roman"/>
            <w:sz w:val="24"/>
            <w:szCs w:val="24"/>
          </w:rPr>
          <w:t>https://www.britannica.com/place/Libya</w:t>
        </w:r>
      </w:hyperlink>
    </w:p>
    <w:p w:rsidR="00B03364" w:rsidRDefault="00D26366" w:rsidP="00907E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9" w:anchor=":~:text=Sunni%20Muslims%20represent%20between%2090,of%20whom%20are%20mostly%20foreigners" w:history="1">
        <w:r w:rsidR="00B03364" w:rsidRPr="004D3368">
          <w:rPr>
            <w:rStyle w:val="Kpr"/>
            <w:rFonts w:ascii="Times New Roman" w:hAnsi="Times New Roman" w:cs="Times New Roman"/>
            <w:sz w:val="24"/>
            <w:szCs w:val="24"/>
          </w:rPr>
          <w:t>https://www.state.gov/reports/2021-report-on-international-religious-freedom/libya/#:~:text=Sunni%20Muslims%20represent%20between%2090,of%20whom%20are%20mostly%20foreigners</w:t>
        </w:r>
      </w:hyperlink>
      <w:r w:rsidR="00B03364" w:rsidRPr="00B03364">
        <w:rPr>
          <w:rFonts w:ascii="Times New Roman" w:hAnsi="Times New Roman" w:cs="Times New Roman"/>
          <w:sz w:val="24"/>
          <w:szCs w:val="24"/>
        </w:rPr>
        <w:t>.</w:t>
      </w:r>
    </w:p>
    <w:p w:rsidR="001C2D8D" w:rsidRPr="00907EB8" w:rsidRDefault="00D26366" w:rsidP="00907E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0" w:anchor=":~:text=On%2022%20December%202017%2C%20the,to%20%E2%80%9CState%20of%20Libya.%E2%80%9D" w:history="1">
        <w:r w:rsidR="001C2D8D" w:rsidRPr="004D3368">
          <w:rPr>
            <w:rStyle w:val="Kpr"/>
            <w:rFonts w:ascii="Times New Roman" w:hAnsi="Times New Roman" w:cs="Times New Roman"/>
            <w:sz w:val="24"/>
            <w:szCs w:val="24"/>
          </w:rPr>
          <w:t>https://www.un.org/en/about-us/member-states/libya#:~:text=On%2022%20December%202017%2C%20the,to%20%E2%80%9CState%20of%20Libya.%E2%80%9D</w:t>
        </w:r>
      </w:hyperlink>
    </w:p>
    <w:sectPr w:rsidR="001C2D8D" w:rsidRPr="00907EB8" w:rsidSect="00B3244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405" w:rsidRDefault="00345405" w:rsidP="00911EBF">
      <w:pPr>
        <w:spacing w:after="0" w:line="240" w:lineRule="auto"/>
      </w:pPr>
      <w:r>
        <w:separator/>
      </w:r>
    </w:p>
  </w:endnote>
  <w:endnote w:type="continuationSeparator" w:id="0">
    <w:p w:rsidR="00345405" w:rsidRDefault="00345405" w:rsidP="0091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BF" w:rsidRDefault="00911EB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BF" w:rsidRDefault="00911EB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BF" w:rsidRDefault="00911EB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405" w:rsidRDefault="00345405" w:rsidP="00911EBF">
      <w:pPr>
        <w:spacing w:after="0" w:line="240" w:lineRule="auto"/>
      </w:pPr>
      <w:r>
        <w:separator/>
      </w:r>
    </w:p>
  </w:footnote>
  <w:footnote w:type="continuationSeparator" w:id="0">
    <w:p w:rsidR="00345405" w:rsidRDefault="00345405" w:rsidP="0091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BF" w:rsidRDefault="00D2636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4293" o:spid="_x0000_s6158" type="#_x0000_t75" style="position:absolute;margin-left:0;margin-top:0;width:337.5pt;height:337.5pt;z-index:-251657216;mso-position-horizontal:center;mso-position-horizontal-relative:margin;mso-position-vertical:center;mso-position-vertical-relative:margin" o:allowincell="f">
          <v:imagedata r:id="rId1" o:title="downlo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BF" w:rsidRDefault="00D2636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4294" o:spid="_x0000_s6159" type="#_x0000_t75" style="position:absolute;margin-left:0;margin-top:0;width:337.5pt;height:337.5pt;z-index:-251656192;mso-position-horizontal:center;mso-position-horizontal-relative:margin;mso-position-vertical:center;mso-position-vertical-relative:margin" o:allowincell="f">
          <v:imagedata r:id="rId1" o:title="downloa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BF" w:rsidRDefault="00D2636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4292" o:spid="_x0000_s6157" type="#_x0000_t75" style="position:absolute;margin-left:0;margin-top:0;width:337.5pt;height:337.5pt;z-index:-251658240;mso-position-horizontal:center;mso-position-horizontal-relative:margin;mso-position-vertical:center;mso-position-vertical-relative:margin" o:allowincell="f">
          <v:imagedata r:id="rId1" o:title="download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B3244C"/>
    <w:rsid w:val="00050A6C"/>
    <w:rsid w:val="0011389A"/>
    <w:rsid w:val="001C2D8D"/>
    <w:rsid w:val="001E122E"/>
    <w:rsid w:val="00217DD7"/>
    <w:rsid w:val="002C79CE"/>
    <w:rsid w:val="002F7204"/>
    <w:rsid w:val="00345405"/>
    <w:rsid w:val="00397037"/>
    <w:rsid w:val="004136DF"/>
    <w:rsid w:val="004A48AD"/>
    <w:rsid w:val="00585F97"/>
    <w:rsid w:val="005F24D3"/>
    <w:rsid w:val="00626270"/>
    <w:rsid w:val="00677D8D"/>
    <w:rsid w:val="00693559"/>
    <w:rsid w:val="00742A93"/>
    <w:rsid w:val="00781D10"/>
    <w:rsid w:val="00907EB8"/>
    <w:rsid w:val="00911709"/>
    <w:rsid w:val="00911EBF"/>
    <w:rsid w:val="00A24BF6"/>
    <w:rsid w:val="00B03364"/>
    <w:rsid w:val="00B2126E"/>
    <w:rsid w:val="00B3244C"/>
    <w:rsid w:val="00B54635"/>
    <w:rsid w:val="00BA557F"/>
    <w:rsid w:val="00CC6BB7"/>
    <w:rsid w:val="00D0268C"/>
    <w:rsid w:val="00D26366"/>
    <w:rsid w:val="00D2727C"/>
    <w:rsid w:val="00D405DD"/>
    <w:rsid w:val="00D84F03"/>
    <w:rsid w:val="00D97C01"/>
    <w:rsid w:val="00DC5AA4"/>
    <w:rsid w:val="00E024B0"/>
    <w:rsid w:val="00E84294"/>
    <w:rsid w:val="00EA52F4"/>
    <w:rsid w:val="00F032BD"/>
    <w:rsid w:val="00F9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0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44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A557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91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11EBF"/>
  </w:style>
  <w:style w:type="paragraph" w:styleId="Altbilgi">
    <w:name w:val="footer"/>
    <w:basedOn w:val="Normal"/>
    <w:link w:val="AltbilgiChar"/>
    <w:uiPriority w:val="99"/>
    <w:semiHidden/>
    <w:unhideWhenUsed/>
    <w:rsid w:val="0091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11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ata.worldbank.org/indicator/SL.TLF.TOTL.FE.ZS?locations=LY" TargetMode="External"/><Relationship Id="rId18" Type="http://schemas.openxmlformats.org/officeDocument/2006/relationships/hyperlink" Target="https://www.britannica.com/place/Libya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ncbi.nlm.nih.gov/pmc/articles/PMC7926862/" TargetMode="External"/><Relationship Id="rId17" Type="http://schemas.openxmlformats.org/officeDocument/2006/relationships/hyperlink" Target="https://pdf.usaid.gov/pdf_docs/PA00WRDD.pdf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constituteproject.org/constitution/Libya_2011.pdf" TargetMode="External"/><Relationship Id="rId20" Type="http://schemas.openxmlformats.org/officeDocument/2006/relationships/hyperlink" Target="https://www.un.org/en/about-us/member-states/liby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orgenproject.org/girls-education-in-libya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genderconcerns.org/country-in-focus/libya/the-situation-of-women-in-libya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statista.com/statistics/1235946/number-of-people-employed-in-libya-by-gender/" TargetMode="External"/><Relationship Id="rId19" Type="http://schemas.openxmlformats.org/officeDocument/2006/relationships/hyperlink" Target="https://www.state.gov/reports/2021-report-on-international-religious-freedom/lib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Libya" TargetMode="External"/><Relationship Id="rId14" Type="http://schemas.openxmlformats.org/officeDocument/2006/relationships/hyperlink" Target="https://www.cia.gov/the-world-factbook/countries/libya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B04E3-5F3A-40DB-B0DC-52DAB0C9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hafsa</dc:creator>
  <cp:lastModifiedBy>hafsa</cp:lastModifiedBy>
  <cp:revision>2</cp:revision>
  <dcterms:created xsi:type="dcterms:W3CDTF">2022-12-09T18:44:00Z</dcterms:created>
  <dcterms:modified xsi:type="dcterms:W3CDTF">2022-12-09T18:44:00Z</dcterms:modified>
</cp:coreProperties>
</file>