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A8" w:rsidRPr="00034812" w:rsidRDefault="004B00DB" w:rsidP="00034812">
      <w:pPr>
        <w:rPr>
          <w:sz w:val="32"/>
          <w:szCs w:val="32"/>
        </w:rPr>
      </w:pPr>
      <w:r w:rsidRPr="00034812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 wp14:anchorId="7F5B897B" wp14:editId="75B62D24">
            <wp:simplePos x="0" y="0"/>
            <wp:positionH relativeFrom="column">
              <wp:posOffset>4108450</wp:posOffset>
            </wp:positionH>
            <wp:positionV relativeFrom="page">
              <wp:posOffset>243840</wp:posOffset>
            </wp:positionV>
            <wp:extent cx="2207260" cy="1440180"/>
            <wp:effectExtent l="0" t="0" r="2540" b="762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r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812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 wp14:anchorId="68EEA8D9" wp14:editId="26D086E4">
            <wp:simplePos x="0" y="0"/>
            <wp:positionH relativeFrom="column">
              <wp:posOffset>-602615</wp:posOffset>
            </wp:positionH>
            <wp:positionV relativeFrom="page">
              <wp:posOffset>243840</wp:posOffset>
            </wp:positionV>
            <wp:extent cx="1866900" cy="189484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i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DA8" w:rsidRPr="00034812" w:rsidRDefault="00E27DA8" w:rsidP="00034812">
      <w:pPr>
        <w:rPr>
          <w:sz w:val="32"/>
          <w:szCs w:val="32"/>
        </w:rPr>
      </w:pPr>
    </w:p>
    <w:p w:rsidR="009D1B1A" w:rsidRPr="00034812" w:rsidRDefault="009D1B1A" w:rsidP="00034812">
      <w:pPr>
        <w:rPr>
          <w:sz w:val="32"/>
          <w:szCs w:val="32"/>
        </w:rPr>
      </w:pPr>
    </w:p>
    <w:p w:rsidR="00E27DA8" w:rsidRPr="00034812" w:rsidRDefault="00E27DA8" w:rsidP="00034812">
      <w:pPr>
        <w:rPr>
          <w:sz w:val="32"/>
          <w:szCs w:val="32"/>
        </w:rPr>
      </w:pPr>
    </w:p>
    <w:p w:rsidR="00E27DA8" w:rsidRPr="00034812" w:rsidRDefault="00E27DA8" w:rsidP="00034812">
      <w:pPr>
        <w:rPr>
          <w:sz w:val="32"/>
          <w:szCs w:val="32"/>
        </w:rPr>
      </w:pPr>
    </w:p>
    <w:p w:rsidR="004073EC" w:rsidRPr="00034812" w:rsidRDefault="004073EC" w:rsidP="00034812">
      <w:pPr>
        <w:rPr>
          <w:sz w:val="32"/>
          <w:szCs w:val="32"/>
        </w:rPr>
      </w:pPr>
    </w:p>
    <w:p w:rsidR="004073EC" w:rsidRPr="00034812" w:rsidRDefault="004073EC" w:rsidP="00034812">
      <w:pPr>
        <w:rPr>
          <w:sz w:val="32"/>
          <w:szCs w:val="32"/>
        </w:rPr>
      </w:pPr>
    </w:p>
    <w:p w:rsidR="004B00DB" w:rsidRPr="00B20BF3" w:rsidRDefault="003B2094" w:rsidP="00B20B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COUNTRY:NIGERI</w:t>
      </w:r>
      <w:bookmarkStart w:id="0" w:name="_GoBack"/>
      <w:bookmarkEnd w:id="0"/>
      <w:r w:rsidR="004B00DB" w:rsidRPr="00B20BF3">
        <w:rPr>
          <w:rFonts w:ascii="Times New Roman" w:hAnsi="Times New Roman" w:cs="Times New Roman"/>
          <w:sz w:val="24"/>
          <w:szCs w:val="24"/>
        </w:rPr>
        <w:t>A</w:t>
      </w:r>
    </w:p>
    <w:p w:rsidR="004B00DB" w:rsidRPr="00B20BF3" w:rsidRDefault="004B00DB" w:rsidP="00B20B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0BF3">
        <w:rPr>
          <w:rFonts w:ascii="Times New Roman" w:hAnsi="Times New Roman" w:cs="Times New Roman"/>
          <w:sz w:val="24"/>
          <w:szCs w:val="24"/>
        </w:rPr>
        <w:t>COMİTEE:CSW</w:t>
      </w:r>
      <w:proofErr w:type="gramEnd"/>
    </w:p>
    <w:p w:rsidR="004B00DB" w:rsidRPr="00B20BF3" w:rsidRDefault="004B00DB" w:rsidP="00B20B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BF3">
        <w:rPr>
          <w:rFonts w:ascii="Times New Roman" w:hAnsi="Times New Roman" w:cs="Times New Roman"/>
          <w:sz w:val="24"/>
          <w:szCs w:val="24"/>
        </w:rPr>
        <w:t>DELEGATE: BAHA KAAN ÜNAL</w:t>
      </w:r>
    </w:p>
    <w:p w:rsidR="00756FB8" w:rsidRPr="00B20BF3" w:rsidRDefault="00756FB8" w:rsidP="00B20B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4812" w:rsidRPr="00B20BF3" w:rsidRDefault="00756FB8" w:rsidP="00B20B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BF3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B20B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BF3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="000407A6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7A6" w:rsidRPr="00B20BF3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="000407A6" w:rsidRPr="00B20BF3">
        <w:rPr>
          <w:rFonts w:ascii="Times New Roman" w:hAnsi="Times New Roman" w:cs="Times New Roman"/>
          <w:sz w:val="24"/>
          <w:szCs w:val="24"/>
        </w:rPr>
        <w:t>,</w:t>
      </w:r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(CSW) is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principal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4812" w:rsidRPr="00B20BF3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intergovernmental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exclusively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empowerment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(ECOSOC), it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12" w:rsidRPr="00B20BF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34812" w:rsidRPr="00B20BF3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="00034812" w:rsidRPr="00B20BF3">
          <w:rPr>
            <w:rFonts w:ascii="Times New Roman" w:hAnsi="Times New Roman" w:cs="Times New Roman"/>
            <w:sz w:val="24"/>
            <w:szCs w:val="24"/>
          </w:rPr>
          <w:t xml:space="preserve">ECOSOC </w:t>
        </w:r>
        <w:proofErr w:type="spellStart"/>
        <w:r w:rsidR="00034812" w:rsidRPr="00B20BF3">
          <w:rPr>
            <w:rFonts w:ascii="Times New Roman" w:hAnsi="Times New Roman" w:cs="Times New Roman"/>
            <w:sz w:val="24"/>
            <w:szCs w:val="24"/>
          </w:rPr>
          <w:t>resolution</w:t>
        </w:r>
        <w:proofErr w:type="spellEnd"/>
        <w:r w:rsidR="00034812" w:rsidRPr="00B20BF3">
          <w:rPr>
            <w:rFonts w:ascii="Times New Roman" w:hAnsi="Times New Roman" w:cs="Times New Roman"/>
            <w:sz w:val="24"/>
            <w:szCs w:val="24"/>
          </w:rPr>
          <w:t xml:space="preserve"> 11(II) of 21 </w:t>
        </w:r>
        <w:proofErr w:type="spellStart"/>
        <w:r w:rsidR="00034812" w:rsidRPr="00B20BF3">
          <w:rPr>
            <w:rFonts w:ascii="Times New Roman" w:hAnsi="Times New Roman" w:cs="Times New Roman"/>
            <w:sz w:val="24"/>
            <w:szCs w:val="24"/>
          </w:rPr>
          <w:t>June</w:t>
        </w:r>
        <w:proofErr w:type="spellEnd"/>
        <w:r w:rsidR="00034812" w:rsidRPr="00B20BF3">
          <w:rPr>
            <w:rFonts w:ascii="Times New Roman" w:hAnsi="Times New Roman" w:cs="Times New Roman"/>
            <w:sz w:val="24"/>
            <w:szCs w:val="24"/>
          </w:rPr>
          <w:t xml:space="preserve"> 1946</w:t>
        </w:r>
      </w:hyperlink>
      <w:r w:rsidR="00034812" w:rsidRPr="00B20BF3">
        <w:rPr>
          <w:rFonts w:ascii="Times New Roman" w:hAnsi="Times New Roman" w:cs="Times New Roman"/>
          <w:sz w:val="24"/>
          <w:szCs w:val="24"/>
        </w:rPr>
        <w:t>.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CSW is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instrumental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promoting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women’s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women’s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lives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throughout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world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shaping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1996, ECOSOC in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"https://undocs.org/en/E/1996/96" </w:instrText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resolution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1996/6 (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p. 20)</w:t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expanded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Commission’s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mandate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decided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leading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monitoring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progress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Beijing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Declaration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Platform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Action,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mainstreaming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perspective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UN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Commission’s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annual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two-week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representatives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UN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States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civil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society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entities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gather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UN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headquarters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New York.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progress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gaps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1995 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"https://www.unwomen.org/en/digital-library/publications/2015/01/beijing-declaration" </w:instrText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Beijing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Declaration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Platform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Action</w:t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key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policy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8" w:history="1"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23rd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special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session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of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the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General Assembly</w:t>
        </w:r>
      </w:hyperlink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held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2000 (Beijing+5), as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emerging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issues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affect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States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agree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further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actions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accelerate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progress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promote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women’s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enjoyment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economic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fields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outcomes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forwarded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ECOSOC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follow-up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aspects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Commission’s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facilitate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civil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society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representatives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Commission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adopts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"https://www.unwomen.org/en/csw" \l "multiyear" </w:instrText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multi-year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programmes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appraise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progress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make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further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accelerate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Platform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Action.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negotiated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agreed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conclusions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a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priority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Commission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follow-up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9" w:history="1"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2030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Agenda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for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Sustainable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Development</w:t>
        </w:r>
      </w:hyperlink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accelerate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realization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Under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current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10" w:history="1"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ECOSOC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resolution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2022/4</w:t>
        </w:r>
      </w:hyperlink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at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Commission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Convenes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ministerial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segment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reaffirm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realization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girls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human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ensure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high-level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engagement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visibility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deliberations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Commission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ministerial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round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tables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high-level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interactive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dialogues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exchange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experiences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lessons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learned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good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proofErr w:type="gramEnd"/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Engages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general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status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identifying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goals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attained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achievements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made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efforts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way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close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gaps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meet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Convenes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interactive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expert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panel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interactive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dialogues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steps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initiatives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accelerate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measures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build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capacities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mainstreaming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across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policies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programmes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Considers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priority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based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Beijing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Declaration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Platform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Action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outcome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23rd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special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Assembly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linkages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2030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Agenda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Development;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progress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agreed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conclusions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previous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a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Discusses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emerging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issues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trends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focus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approaches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questions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affecting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situation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men,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timely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consideration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Considers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closed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meeting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report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Group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Communications;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Agrees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further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actions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promotion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adopting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agreed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conclusions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resolutions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perspectives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intergovernmental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bodies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Reports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aspects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agreed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Economic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Celebrates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International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Women’s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Day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8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March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falls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Multi-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Commission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elaborated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multi-year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time in 1987,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containing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priority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annual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11" w:history="1"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ECOSOC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resolution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1987/24</w:t>
        </w:r>
      </w:hyperlink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proofErr w:type="gram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Subsequently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multi-year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programmes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adopted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1996 in </w:t>
      </w:r>
      <w:hyperlink r:id="rId12" w:history="1"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ECOSOC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resolution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1996/6</w:t>
        </w:r>
      </w:hyperlink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(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p. 20), in 2001 in </w:t>
      </w:r>
      <w:hyperlink r:id="rId13" w:history="1"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ECOSOC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resolution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2001/4</w:t>
        </w:r>
      </w:hyperlink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, in 2006 in </w:t>
      </w:r>
      <w:hyperlink r:id="rId14" w:history="1"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ECOSOC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resolution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2006/9</w:t>
        </w:r>
      </w:hyperlink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, in 2009 in </w:t>
      </w:r>
      <w:hyperlink r:id="rId15" w:history="1"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ECOSOC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resolution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2009/15</w:t>
        </w:r>
      </w:hyperlink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, in 2013 in </w:t>
      </w:r>
      <w:hyperlink r:id="rId16" w:history="1"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ECOSOC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resolution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2013/18</w:t>
        </w:r>
      </w:hyperlink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2016 in </w:t>
      </w:r>
      <w:hyperlink r:id="rId17" w:history="1"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ECOSOC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resolution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2016/3.</w:t>
        </w:r>
      </w:hyperlink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2020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 </w:t>
      </w:r>
      <w:hyperlink r:id="rId18" w:history="1"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ECOSOC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resolution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2018/8</w:t>
        </w:r>
      </w:hyperlink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proofErr w:type="gramEnd"/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multi-year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2021-2024 is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contained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ECOSOC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resolution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19" w:history="1"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ECOSOC </w:t>
        </w:r>
        <w:proofErr w:type="spellStart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resolution</w:t>
        </w:r>
        <w:proofErr w:type="spellEnd"/>
        <w:r w:rsidRPr="00B20BF3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2020/15</w:t>
        </w:r>
      </w:hyperlink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Based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resolutions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2018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2020,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priority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2020–2024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0B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2020:</w:t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appraisal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Beijing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Declaration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Platform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Action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outcomes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23rd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special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Assembly,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towards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full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realization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2030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Agenda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Development.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0B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2021:</w:t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Priority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Women’s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full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effective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decision-making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life, as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elimination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violence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achieving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girls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Women’s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link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agreed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conclusions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sixtieth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0B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2022:</w:t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Priority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Achieving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girls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context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climate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disaster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risk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reduction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policies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programmes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Women’s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economic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changing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world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agreed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conclusions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sixty-first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0B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2023: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Priority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Innovation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technological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age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achieving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girls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opportunities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achieving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rural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girls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agreed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conclusions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sixty-second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:rsidR="00034812" w:rsidRPr="00B20BF3" w:rsidRDefault="00034812" w:rsidP="00B20B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0B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2024:</w:t>
      </w:r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Priority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Accelerating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achievement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girls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poverty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financing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perspective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theme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protection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access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services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infrastructure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girls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agreed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conclusions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sixty-third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B20BF3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:rsidR="00756FB8" w:rsidRPr="00B20BF3" w:rsidRDefault="00756FB8" w:rsidP="00B20B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00DB" w:rsidRDefault="004B00DB" w:rsidP="004B00DB">
      <w:pPr>
        <w:rPr>
          <w:sz w:val="36"/>
          <w:szCs w:val="36"/>
        </w:rPr>
      </w:pPr>
    </w:p>
    <w:p w:rsidR="004B00DB" w:rsidRPr="004B00DB" w:rsidRDefault="004B00DB" w:rsidP="004B00DB">
      <w:pPr>
        <w:rPr>
          <w:sz w:val="36"/>
          <w:szCs w:val="36"/>
        </w:rPr>
      </w:pPr>
    </w:p>
    <w:sectPr w:rsidR="004B00DB" w:rsidRPr="004B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1FA"/>
    <w:multiLevelType w:val="multilevel"/>
    <w:tmpl w:val="F9DA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2450D"/>
    <w:multiLevelType w:val="multilevel"/>
    <w:tmpl w:val="A7A2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CF"/>
    <w:rsid w:val="00034812"/>
    <w:rsid w:val="000407A6"/>
    <w:rsid w:val="003B2094"/>
    <w:rsid w:val="004073EC"/>
    <w:rsid w:val="004B00DB"/>
    <w:rsid w:val="00550F7B"/>
    <w:rsid w:val="00756FB8"/>
    <w:rsid w:val="009216CF"/>
    <w:rsid w:val="009D1B1A"/>
    <w:rsid w:val="00B20BF3"/>
    <w:rsid w:val="00E2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6938"/>
  <w15:chartTrackingRefBased/>
  <w15:docId w15:val="{F99AF4E0-96FD-4325-AEA0-36D72DB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34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3481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3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348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034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womenwatch/daw/followup/beijing+5.htm" TargetMode="External"/><Relationship Id="rId13" Type="http://schemas.openxmlformats.org/officeDocument/2006/relationships/hyperlink" Target="https://www.un.org/ecosoc/sites/www.un.org.ecosoc/files/documents/2001/resolution-2001-4.pdf" TargetMode="External"/><Relationship Id="rId18" Type="http://schemas.openxmlformats.org/officeDocument/2006/relationships/hyperlink" Target="https://undocs.org/en/E/RES/2018/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ndocs.org/en/E/RES/11(II)" TargetMode="External"/><Relationship Id="rId12" Type="http://schemas.openxmlformats.org/officeDocument/2006/relationships/hyperlink" Target="https://undocs.org/en/E/1996/96" TargetMode="External"/><Relationship Id="rId17" Type="http://schemas.openxmlformats.org/officeDocument/2006/relationships/hyperlink" Target="https://undocs.org/en/E/RES/2016/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docs.org/en/E/RES/2013/1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un.org/womenwatch/daw/csw/pdf/E-1987-24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un.org/ecosoc/sites/www.un.org.ecosoc/files/documents/2009/resolution-2009-15.pdf" TargetMode="External"/><Relationship Id="rId10" Type="http://schemas.openxmlformats.org/officeDocument/2006/relationships/hyperlink" Target="https://undocs.org/E/RES/2022/4" TargetMode="External"/><Relationship Id="rId19" Type="http://schemas.openxmlformats.org/officeDocument/2006/relationships/hyperlink" Target="https://undocs.org/en/E/RES/2020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women.org/en/what-we-do/2030-agenda-for-sustainable-development" TargetMode="External"/><Relationship Id="rId14" Type="http://schemas.openxmlformats.org/officeDocument/2006/relationships/hyperlink" Target="https://www.un.org/ecosoc/sites/www.un.org.ecosoc/files/documents/2006/resolution-2006-9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Merve</cp:lastModifiedBy>
  <cp:revision>5</cp:revision>
  <dcterms:created xsi:type="dcterms:W3CDTF">2023-05-08T16:22:00Z</dcterms:created>
  <dcterms:modified xsi:type="dcterms:W3CDTF">2023-05-09T20:49:00Z</dcterms:modified>
</cp:coreProperties>
</file>